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C59E7">
      <w:pPr>
        <w:pStyle w:val="99"/>
        <w:tabs>
          <w:tab w:val="right" w:pos="9639"/>
        </w:tabs>
        <w:spacing w:after="0"/>
        <w:rPr>
          <w:rFonts w:hint="default" w:eastAsia="Malgun Gothic"/>
          <w:b/>
          <w:sz w:val="24"/>
          <w:lang w:val="en-US" w:eastAsia="zh-CN"/>
        </w:rPr>
      </w:pPr>
      <w:r>
        <w:rPr>
          <w:rFonts w:eastAsia="Malgun Gothic"/>
          <w:b/>
          <w:sz w:val="24"/>
        </w:rPr>
        <w:t>3GPP TSG-</w:t>
      </w:r>
      <w:r>
        <w:rPr>
          <w:rFonts w:eastAsia="Malgun Gothic"/>
          <w:b/>
          <w:sz w:val="24"/>
        </w:rPr>
        <w:fldChar w:fldCharType="begin"/>
      </w:r>
      <w:r>
        <w:rPr>
          <w:rFonts w:eastAsia="Malgun Gothic"/>
          <w:b/>
          <w:sz w:val="24"/>
        </w:rPr>
        <w:instrText xml:space="preserve">DOCPROPERTY  TSG/WGRef  \* MERGEFORMAT</w:instrText>
      </w:r>
      <w:r>
        <w:rPr>
          <w:rFonts w:eastAsia="Malgun Gothic"/>
          <w:b/>
          <w:sz w:val="24"/>
        </w:rPr>
        <w:fldChar w:fldCharType="separate"/>
      </w:r>
      <w:r>
        <w:rPr>
          <w:rFonts w:eastAsia="Malgun Gothic"/>
          <w:b/>
          <w:sz w:val="24"/>
        </w:rPr>
        <w:t>RAN5</w:t>
      </w:r>
      <w:r>
        <w:rPr>
          <w:rFonts w:eastAsia="Malgun Gothic"/>
          <w:b/>
          <w:sz w:val="24"/>
        </w:rPr>
        <w:fldChar w:fldCharType="end"/>
      </w:r>
      <w:r>
        <w:rPr>
          <w:rFonts w:eastAsia="Malgun Gothic"/>
          <w:b/>
          <w:sz w:val="24"/>
        </w:rPr>
        <w:t xml:space="preserve"> Meeting #10</w:t>
      </w:r>
      <w:r>
        <w:rPr>
          <w:rFonts w:hint="eastAsia" w:eastAsia="Malgun Gothic"/>
          <w:b/>
          <w:sz w:val="24"/>
        </w:rPr>
        <w:t>9</w:t>
      </w:r>
      <w:r>
        <w:rPr>
          <w:rFonts w:eastAsia="Malgun Gothic"/>
          <w:b/>
          <w:sz w:val="24"/>
        </w:rPr>
        <w:fldChar w:fldCharType="begin"/>
      </w:r>
      <w:r>
        <w:rPr>
          <w:rFonts w:eastAsia="Malgun Gothic"/>
          <w:b/>
          <w:sz w:val="24"/>
        </w:rPr>
        <w:instrText xml:space="preserve">DOCPROPERTY  MtgTitle  \* MERGEFORMAT</w:instrText>
      </w:r>
      <w:r>
        <w:rPr>
          <w:rFonts w:eastAsia="Malgun Gothic"/>
          <w:b/>
          <w:sz w:val="24"/>
        </w:rPr>
        <w:fldChar w:fldCharType="separate"/>
      </w:r>
      <w:r>
        <w:rPr>
          <w:rFonts w:eastAsia="Malgun Gothic"/>
          <w:b/>
          <w:sz w:val="24"/>
        </w:rPr>
        <w:fldChar w:fldCharType="end"/>
      </w:r>
      <w:r>
        <w:rPr>
          <w:rFonts w:eastAsia="Malgun Gothic"/>
          <w:b/>
          <w:sz w:val="24"/>
        </w:rPr>
        <w:tab/>
      </w:r>
      <w:r>
        <w:rPr>
          <w:rFonts w:eastAsia="Malgun Gothic"/>
          <w:b/>
          <w:sz w:val="24"/>
        </w:rPr>
        <w:fldChar w:fldCharType="begin"/>
      </w:r>
      <w:r>
        <w:rPr>
          <w:rFonts w:eastAsia="Malgun Gothic"/>
          <w:b/>
          <w:sz w:val="24"/>
        </w:rPr>
        <w:instrText xml:space="preserve">DOCPROPERTY  Tdoc#  \* MERGEFORMAT</w:instrText>
      </w:r>
      <w:r>
        <w:rPr>
          <w:rFonts w:eastAsia="Malgun Gothic"/>
          <w:b/>
          <w:sz w:val="24"/>
        </w:rPr>
        <w:fldChar w:fldCharType="separate"/>
      </w:r>
      <w:r>
        <w:rPr>
          <w:rFonts w:eastAsia="Malgun Gothic"/>
          <w:b/>
          <w:sz w:val="24"/>
        </w:rPr>
        <w:t>R5-</w:t>
      </w:r>
      <w:r>
        <w:rPr>
          <w:rFonts w:eastAsia="Malgun Gothic"/>
          <w:b/>
          <w:sz w:val="24"/>
        </w:rPr>
        <w:fldChar w:fldCharType="end"/>
      </w:r>
      <w:r>
        <w:rPr>
          <w:rFonts w:eastAsia="Malgun Gothic"/>
          <w:b/>
          <w:sz w:val="24"/>
        </w:rPr>
        <w:t>25</w:t>
      </w:r>
      <w:r>
        <w:rPr>
          <w:rFonts w:hint="eastAsia" w:eastAsia="Malgun Gothic"/>
          <w:b/>
          <w:sz w:val="24"/>
          <w:lang w:val="en-US" w:eastAsia="zh-CN"/>
        </w:rPr>
        <w:t>5660</w:t>
      </w:r>
    </w:p>
    <w:p w14:paraId="6E1DAD31">
      <w:pPr>
        <w:pStyle w:val="99"/>
        <w:tabs>
          <w:tab w:val="right" w:pos="9639"/>
        </w:tabs>
        <w:spacing w:after="0"/>
        <w:rPr>
          <w:rFonts w:eastAsia="Malgun Gothic"/>
          <w:b/>
          <w:sz w:val="24"/>
        </w:rPr>
      </w:pPr>
      <w:r>
        <w:rPr>
          <w:rFonts w:eastAsia="Malgun Gothic"/>
          <w:b/>
          <w:sz w:val="24"/>
        </w:rPr>
        <w:t>Dallas, US, Nov 17th</w:t>
      </w:r>
      <w:r>
        <w:rPr>
          <w:rFonts w:hint="eastAsia" w:eastAsia="Malgun Gothic"/>
          <w:b/>
          <w:sz w:val="24"/>
        </w:rPr>
        <w:t xml:space="preserve"> </w:t>
      </w:r>
      <w:r>
        <w:rPr>
          <w:rFonts w:eastAsia="Malgun Gothic"/>
          <w:b/>
          <w:sz w:val="24"/>
        </w:rPr>
        <w:t>-</w:t>
      </w:r>
      <w:r>
        <w:rPr>
          <w:rFonts w:hint="eastAsia" w:eastAsia="Malgun Gothic"/>
          <w:b/>
          <w:sz w:val="24"/>
        </w:rPr>
        <w:t xml:space="preserve"> </w:t>
      </w:r>
      <w:r>
        <w:rPr>
          <w:rFonts w:eastAsia="Malgun Gothic"/>
          <w:b/>
          <w:sz w:val="24"/>
        </w:rPr>
        <w:t>21st, 2025</w:t>
      </w:r>
    </w:p>
    <w:p w14:paraId="4A2AE829">
      <w:pPr>
        <w:pStyle w:val="99"/>
        <w:tabs>
          <w:tab w:val="right" w:pos="9639"/>
        </w:tabs>
        <w:spacing w:after="0"/>
        <w:rPr>
          <w:b/>
          <w:sz w:val="24"/>
          <w:lang w:val="en-US"/>
        </w:rPr>
      </w:pPr>
    </w:p>
    <w:p w14:paraId="10EACD49">
      <w:pPr>
        <w:pStyle w:val="99"/>
        <w:tabs>
          <w:tab w:val="right" w:pos="9639"/>
        </w:tabs>
        <w:spacing w:after="0"/>
        <w:rPr>
          <w:b/>
          <w:sz w:val="24"/>
        </w:rPr>
      </w:pPr>
      <w:r>
        <w:rPr>
          <w:b/>
          <w:sz w:val="24"/>
          <w:lang w:val="en-US" w:eastAsia="zh-CN"/>
        </w:rPr>
        <w:t>3GPP TSG RAN Meeting #1</w:t>
      </w:r>
      <w:r>
        <w:rPr>
          <w:rFonts w:hint="eastAsia"/>
          <w:b/>
          <w:sz w:val="24"/>
          <w:lang w:val="en-US" w:eastAsia="zh-CN"/>
        </w:rPr>
        <w:t>10</w:t>
      </w:r>
      <w:r>
        <w:rPr>
          <w:b/>
          <w:sz w:val="24"/>
        </w:rPr>
        <w:tab/>
      </w:r>
      <w:r>
        <w:rPr>
          <w:b/>
          <w:sz w:val="24"/>
        </w:rPr>
        <w:t>RP-2</w:t>
      </w:r>
      <w:r>
        <w:rPr>
          <w:rFonts w:hint="eastAsia"/>
          <w:b/>
          <w:sz w:val="24"/>
          <w:lang w:val="en-US" w:eastAsia="zh-CN"/>
        </w:rPr>
        <w:t>5xxxx</w:t>
      </w:r>
    </w:p>
    <w:p w14:paraId="5606360A">
      <w:pPr>
        <w:pStyle w:val="99"/>
        <w:tabs>
          <w:tab w:val="right" w:pos="9639"/>
        </w:tabs>
        <w:spacing w:after="0"/>
        <w:rPr>
          <w:b/>
          <w:sz w:val="24"/>
        </w:rPr>
      </w:pPr>
      <w:r>
        <w:rPr>
          <w:b/>
          <w:sz w:val="24"/>
          <w:lang w:val="en-US" w:eastAsia="zh-CN"/>
        </w:rPr>
        <w:t xml:space="preserve">Baltimore, US, </w:t>
      </w:r>
      <w:r>
        <w:rPr>
          <w:rFonts w:hint="eastAsia"/>
          <w:b/>
          <w:sz w:val="24"/>
          <w:lang w:val="en-US" w:eastAsia="zh-CN"/>
        </w:rPr>
        <w:t>Dec 08th</w:t>
      </w:r>
      <w:r>
        <w:rPr>
          <w:b/>
          <w:sz w:val="24"/>
          <w:lang w:val="en-US" w:eastAsia="zh-CN"/>
        </w:rPr>
        <w:t>-1</w:t>
      </w:r>
      <w:r>
        <w:rPr>
          <w:rFonts w:hint="eastAsia"/>
          <w:b/>
          <w:sz w:val="24"/>
          <w:lang w:val="en-US" w:eastAsia="zh-CN"/>
        </w:rPr>
        <w:t>1th</w:t>
      </w:r>
      <w:r>
        <w:rPr>
          <w:b/>
          <w:sz w:val="24"/>
          <w:lang w:val="en-US" w:eastAsia="zh-CN"/>
        </w:rPr>
        <w:t>, 2025</w:t>
      </w:r>
      <w:r>
        <w:rPr>
          <w:b/>
          <w:sz w:val="24"/>
        </w:rPr>
        <w:tab/>
      </w:r>
    </w:p>
    <w:p w14:paraId="5D95E22B">
      <w:pPr>
        <w:pStyle w:val="99"/>
        <w:tabs>
          <w:tab w:val="right" w:pos="9639"/>
        </w:tabs>
        <w:spacing w:after="0"/>
        <w:rPr>
          <w:b/>
          <w:sz w:val="24"/>
        </w:rPr>
      </w:pPr>
    </w:p>
    <w:p w14:paraId="2965690D">
      <w:pPr>
        <w:pStyle w:val="3"/>
        <w:jc w:val="center"/>
        <w:rPr>
          <w:u w:val="single"/>
        </w:rPr>
      </w:pPr>
      <w:r>
        <w:rPr>
          <w:u w:val="single"/>
        </w:rPr>
        <w:t>Status Report to TSG</w:t>
      </w:r>
    </w:p>
    <w:p w14:paraId="6F9D181C">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14:paraId="4736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22BCC32">
            <w:pPr>
              <w:tabs>
                <w:tab w:val="left" w:pos="567"/>
              </w:tabs>
              <w:spacing w:after="0"/>
              <w:rPr>
                <w:rFonts w:ascii="Arial" w:hAnsi="Arial" w:cs="Arial"/>
                <w:b/>
              </w:rPr>
            </w:pPr>
            <w:r>
              <w:rPr>
                <w:rFonts w:ascii="Arial" w:hAnsi="Arial" w:cs="Arial"/>
                <w:b/>
              </w:rPr>
              <w:t>WI / SI Name</w:t>
            </w:r>
          </w:p>
        </w:tc>
        <w:tc>
          <w:tcPr>
            <w:tcW w:w="7650" w:type="dxa"/>
            <w:gridSpan w:val="4"/>
          </w:tcPr>
          <w:p w14:paraId="2E5FA801">
            <w:pPr>
              <w:tabs>
                <w:tab w:val="left" w:pos="567"/>
              </w:tabs>
              <w:spacing w:after="0"/>
              <w:rPr>
                <w:rFonts w:ascii="Arial" w:hAnsi="Arial" w:cs="Arial"/>
              </w:rPr>
            </w:pPr>
            <w:r>
              <w:rPr>
                <w:rFonts w:hint="eastAsia" w:ascii="Arial" w:hAnsi="Arial" w:cs="Arial"/>
              </w:rPr>
              <w:t>UE Conformance - NR Support for UAV (Uncrewed Aerial Vehicles) plus CT1 aspects</w:t>
            </w:r>
          </w:p>
        </w:tc>
      </w:tr>
      <w:tr w14:paraId="0FE5B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948F66E">
            <w:pPr>
              <w:tabs>
                <w:tab w:val="left" w:pos="567"/>
              </w:tabs>
              <w:spacing w:after="0"/>
              <w:rPr>
                <w:rFonts w:ascii="Arial" w:hAnsi="Arial" w:cs="Arial"/>
                <w:bCs/>
              </w:rPr>
            </w:pPr>
            <w:r>
              <w:rPr>
                <w:rFonts w:ascii="Arial" w:hAnsi="Arial" w:cs="Arial"/>
                <w:bCs/>
              </w:rPr>
              <w:t>included in this status report</w:t>
            </w:r>
          </w:p>
        </w:tc>
        <w:tc>
          <w:tcPr>
            <w:tcW w:w="1846" w:type="dxa"/>
          </w:tcPr>
          <w:p w14:paraId="6B571C84">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C41A496">
            <w:pPr>
              <w:tabs>
                <w:tab w:val="left" w:pos="567"/>
              </w:tabs>
              <w:spacing w:after="0"/>
              <w:rPr>
                <w:rFonts w:ascii="Arial" w:hAnsi="Arial" w:cs="Arial"/>
              </w:rPr>
            </w:pPr>
            <w:r>
              <w:rPr>
                <w:rFonts w:ascii="Arial" w:hAnsi="Arial" w:cs="Arial"/>
                <w:lang w:eastAsia="ja-JP"/>
              </w:rPr>
              <w:t>No</w:t>
            </w:r>
          </w:p>
        </w:tc>
        <w:tc>
          <w:tcPr>
            <w:tcW w:w="1842" w:type="dxa"/>
          </w:tcPr>
          <w:p w14:paraId="0E55D326">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131EDCB3">
            <w:pPr>
              <w:tabs>
                <w:tab w:val="left" w:pos="567"/>
              </w:tabs>
              <w:spacing w:after="0"/>
              <w:rPr>
                <w:rFonts w:ascii="Arial" w:hAnsi="Arial" w:cs="Arial"/>
                <w:lang w:eastAsia="ja-JP"/>
              </w:rPr>
            </w:pPr>
            <w:r>
              <w:rPr>
                <w:rFonts w:ascii="Arial" w:hAnsi="Arial" w:cs="Arial"/>
                <w:lang w:eastAsia="ja-JP"/>
              </w:rPr>
              <w:t>No</w:t>
            </w:r>
          </w:p>
        </w:tc>
        <w:tc>
          <w:tcPr>
            <w:tcW w:w="2309" w:type="dxa"/>
          </w:tcPr>
          <w:p w14:paraId="7AF3DAA8">
            <w:pPr>
              <w:tabs>
                <w:tab w:val="left" w:pos="567"/>
              </w:tabs>
              <w:spacing w:after="0"/>
              <w:rPr>
                <w:rFonts w:ascii="Arial" w:hAnsi="Arial" w:cs="Arial"/>
              </w:rPr>
            </w:pPr>
            <w:r>
              <w:rPr>
                <w:rFonts w:ascii="Arial" w:hAnsi="Arial" w:cs="Arial"/>
              </w:rPr>
              <w:t>Performance part:</w:t>
            </w:r>
          </w:p>
          <w:p w14:paraId="1542908C">
            <w:pPr>
              <w:tabs>
                <w:tab w:val="left" w:pos="567"/>
              </w:tabs>
              <w:spacing w:after="0"/>
              <w:rPr>
                <w:rFonts w:ascii="Arial" w:hAnsi="Arial" w:cs="Arial"/>
                <w:lang w:eastAsia="ja-JP"/>
              </w:rPr>
            </w:pPr>
            <w:r>
              <w:rPr>
                <w:rFonts w:ascii="Arial" w:hAnsi="Arial" w:cs="Arial"/>
                <w:lang w:eastAsia="ja-JP"/>
              </w:rPr>
              <w:t>No</w:t>
            </w:r>
          </w:p>
        </w:tc>
        <w:tc>
          <w:tcPr>
            <w:tcW w:w="1653" w:type="dxa"/>
          </w:tcPr>
          <w:p w14:paraId="54033DBD">
            <w:pPr>
              <w:tabs>
                <w:tab w:val="left" w:pos="567"/>
              </w:tabs>
              <w:spacing w:after="0"/>
              <w:rPr>
                <w:rFonts w:ascii="Arial" w:hAnsi="Arial" w:cs="Arial"/>
              </w:rPr>
            </w:pPr>
            <w:r>
              <w:rPr>
                <w:rFonts w:ascii="Arial" w:hAnsi="Arial" w:cs="Arial"/>
              </w:rPr>
              <w:t>Testing part:</w:t>
            </w:r>
          </w:p>
          <w:p w14:paraId="7F95E2D3">
            <w:pPr>
              <w:tabs>
                <w:tab w:val="left" w:pos="567"/>
              </w:tabs>
              <w:spacing w:after="0"/>
              <w:rPr>
                <w:rFonts w:ascii="Arial" w:hAnsi="Arial" w:cs="Arial"/>
                <w:lang w:eastAsia="ja-JP"/>
              </w:rPr>
            </w:pPr>
            <w:r>
              <w:rPr>
                <w:rFonts w:ascii="Arial" w:hAnsi="Arial" w:cs="Arial"/>
                <w:lang w:eastAsia="ja-JP"/>
              </w:rPr>
              <w:t>Yes</w:t>
            </w:r>
          </w:p>
        </w:tc>
      </w:tr>
      <w:tr w14:paraId="1DC8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87E46CD">
            <w:pPr>
              <w:tabs>
                <w:tab w:val="left" w:pos="567"/>
              </w:tabs>
              <w:spacing w:after="0"/>
              <w:rPr>
                <w:rFonts w:ascii="Arial" w:hAnsi="Arial" w:cs="Arial"/>
                <w:b/>
              </w:rPr>
            </w:pPr>
            <w:r>
              <w:rPr>
                <w:rFonts w:ascii="Arial" w:hAnsi="Arial" w:cs="Arial"/>
                <w:b/>
              </w:rPr>
              <w:t>Acronym</w:t>
            </w:r>
          </w:p>
        </w:tc>
        <w:tc>
          <w:tcPr>
            <w:tcW w:w="7650" w:type="dxa"/>
            <w:gridSpan w:val="4"/>
          </w:tcPr>
          <w:p w14:paraId="5EDC6EDA">
            <w:pPr>
              <w:tabs>
                <w:tab w:val="left" w:pos="567"/>
              </w:tabs>
              <w:spacing w:after="0"/>
              <w:rPr>
                <w:rFonts w:ascii="Arial" w:hAnsi="Arial" w:cs="Arial"/>
                <w:lang w:val="en-US" w:eastAsia="zh-CN"/>
              </w:rPr>
            </w:pPr>
            <w:r>
              <w:rPr>
                <w:rFonts w:hint="eastAsia" w:ascii="Arial" w:hAnsi="Arial" w:cs="Arial"/>
                <w:lang w:val="en-US" w:eastAsia="zh-CN"/>
              </w:rPr>
              <w:t>NR_UAV_plus_CT1-UEConTest</w:t>
            </w:r>
          </w:p>
        </w:tc>
      </w:tr>
      <w:tr w14:paraId="690C8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617E13C">
            <w:pPr>
              <w:tabs>
                <w:tab w:val="left" w:pos="567"/>
              </w:tabs>
              <w:spacing w:after="0"/>
              <w:rPr>
                <w:rFonts w:ascii="Arial" w:hAnsi="Arial" w:cs="Arial"/>
                <w:b/>
              </w:rPr>
            </w:pPr>
            <w:r>
              <w:rPr>
                <w:rFonts w:ascii="Arial" w:hAnsi="Arial" w:cs="Arial"/>
                <w:b/>
              </w:rPr>
              <w:t>Unique ID</w:t>
            </w:r>
          </w:p>
        </w:tc>
        <w:tc>
          <w:tcPr>
            <w:tcW w:w="7650" w:type="dxa"/>
            <w:gridSpan w:val="4"/>
          </w:tcPr>
          <w:p w14:paraId="46B75F06">
            <w:pPr>
              <w:tabs>
                <w:tab w:val="left" w:pos="567"/>
              </w:tabs>
              <w:spacing w:after="0"/>
              <w:rPr>
                <w:rFonts w:ascii="Arial" w:hAnsi="Arial" w:cs="Arial"/>
                <w:lang w:val="en-US" w:eastAsia="zh-CN"/>
              </w:rPr>
            </w:pPr>
            <w:r>
              <w:rPr>
                <w:rFonts w:ascii="Arial" w:hAnsi="Arial" w:cs="Arial"/>
                <w:lang w:val="en-US" w:eastAsia="zh-CN"/>
              </w:rPr>
              <w:t>1070060</w:t>
            </w:r>
          </w:p>
        </w:tc>
      </w:tr>
      <w:tr w14:paraId="17431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F0B0E9E">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14:paraId="7BD993C9">
            <w:pPr>
              <w:tabs>
                <w:tab w:val="left" w:pos="567"/>
              </w:tabs>
              <w:spacing w:after="0"/>
              <w:rPr>
                <w:rFonts w:ascii="Arial" w:hAnsi="Arial" w:cs="Arial"/>
                <w:lang w:val="en-US" w:eastAsia="zh-CN"/>
              </w:rPr>
            </w:pPr>
            <w:r>
              <w:fldChar w:fldCharType="begin"/>
            </w:r>
            <w:r>
              <w:instrText xml:space="preserve"> HYPERLINK "javascript:openTdoc('https://portal.3gpp.org/ngppapp/CreateTdoc.aspx?mode=view&amp;contributionUid=RP-250062','RP-250062')" </w:instrText>
            </w:r>
            <w:r>
              <w:fldChar w:fldCharType="separate"/>
            </w:r>
            <w:r>
              <w:rPr>
                <w:rFonts w:ascii="Arial" w:hAnsi="Arial" w:cs="Arial"/>
                <w:lang w:val="en-US" w:eastAsia="zh-CN"/>
              </w:rPr>
              <w:t>RP-250062</w:t>
            </w:r>
            <w:r>
              <w:rPr>
                <w:rFonts w:ascii="Arial" w:hAnsi="Arial" w:cs="Arial"/>
                <w:lang w:val="en-US" w:eastAsia="zh-CN"/>
              </w:rPr>
              <w:fldChar w:fldCharType="end"/>
            </w:r>
          </w:p>
        </w:tc>
      </w:tr>
      <w:tr w14:paraId="2802C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C976F33">
            <w:pPr>
              <w:tabs>
                <w:tab w:val="left" w:pos="567"/>
              </w:tabs>
              <w:spacing w:after="0"/>
              <w:rPr>
                <w:rFonts w:ascii="Arial" w:hAnsi="Arial" w:cs="Arial"/>
                <w:b/>
              </w:rPr>
            </w:pPr>
            <w:r>
              <w:rPr>
                <w:rFonts w:ascii="Arial" w:hAnsi="Arial" w:cs="Arial"/>
                <w:b/>
              </w:rPr>
              <w:t>Target Completion Date</w:t>
            </w:r>
          </w:p>
          <w:p w14:paraId="77AF0174">
            <w:pPr>
              <w:tabs>
                <w:tab w:val="left" w:pos="567"/>
              </w:tabs>
              <w:spacing w:after="0"/>
              <w:rPr>
                <w:rFonts w:ascii="Arial" w:hAnsi="Arial" w:cs="Arial"/>
                <w:b/>
              </w:rPr>
            </w:pPr>
            <w:r>
              <w:rPr>
                <w:rFonts w:ascii="Arial" w:hAnsi="Arial" w:cs="Arial"/>
                <w:b/>
              </w:rPr>
              <w:t>(indicate if changed)</w:t>
            </w:r>
          </w:p>
        </w:tc>
        <w:tc>
          <w:tcPr>
            <w:tcW w:w="1846" w:type="dxa"/>
          </w:tcPr>
          <w:p w14:paraId="6A22B96D">
            <w:pPr>
              <w:tabs>
                <w:tab w:val="left" w:pos="567"/>
              </w:tabs>
              <w:spacing w:after="0"/>
              <w:rPr>
                <w:rFonts w:ascii="Arial" w:hAnsi="Arial" w:cs="Arial"/>
                <w:lang w:eastAsia="ja-JP"/>
              </w:rPr>
            </w:pPr>
            <w:r>
              <w:rPr>
                <w:rFonts w:ascii="Arial" w:hAnsi="Arial" w:cs="Arial"/>
                <w:lang w:eastAsia="ja-JP"/>
              </w:rPr>
              <w:t xml:space="preserve">Study Item: </w:t>
            </w:r>
          </w:p>
          <w:p w14:paraId="5DC3A882">
            <w:pPr>
              <w:tabs>
                <w:tab w:val="left" w:pos="567"/>
              </w:tabs>
              <w:spacing w:after="0"/>
              <w:rPr>
                <w:rFonts w:ascii="Arial" w:hAnsi="Arial" w:cs="Arial"/>
                <w:lang w:eastAsia="ja-JP"/>
              </w:rPr>
            </w:pPr>
          </w:p>
        </w:tc>
        <w:tc>
          <w:tcPr>
            <w:tcW w:w="1842" w:type="dxa"/>
          </w:tcPr>
          <w:p w14:paraId="0ADE6C57">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239F9A9">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10155FDA">
            <w:pPr>
              <w:tabs>
                <w:tab w:val="left" w:pos="567"/>
              </w:tabs>
              <w:spacing w:after="0"/>
              <w:rPr>
                <w:rFonts w:ascii="Arial" w:hAnsi="Arial" w:cs="Arial"/>
                <w:lang w:eastAsia="ja-JP"/>
              </w:rPr>
            </w:pPr>
            <w:r>
              <w:rPr>
                <w:rFonts w:ascii="Arial" w:hAnsi="Arial" w:cs="Arial"/>
                <w:lang w:eastAsia="ja-JP"/>
              </w:rPr>
              <w:t xml:space="preserve">Testing part: </w:t>
            </w:r>
          </w:p>
          <w:p w14:paraId="1DF41123">
            <w:pPr>
              <w:tabs>
                <w:tab w:val="left" w:pos="567"/>
              </w:tabs>
              <w:spacing w:after="0"/>
              <w:rPr>
                <w:rFonts w:ascii="Arial" w:hAnsi="Arial" w:eastAsia="宋体" w:cs="Arial"/>
                <w:color w:val="00B050"/>
                <w:kern w:val="2"/>
                <w:sz w:val="21"/>
                <w:szCs w:val="22"/>
                <w:lang w:val="en-US" w:eastAsia="zh-CN"/>
              </w:rPr>
            </w:pPr>
            <w:r>
              <w:rPr>
                <w:rFonts w:ascii="Arial" w:hAnsi="Arial" w:eastAsia="宋体" w:cs="Arial"/>
                <w:color w:val="00B050"/>
                <w:kern w:val="2"/>
                <w:sz w:val="21"/>
                <w:szCs w:val="22"/>
                <w:lang w:val="en-US" w:eastAsia="zh-CN"/>
              </w:rPr>
              <w:t>0</w:t>
            </w:r>
            <w:r>
              <w:rPr>
                <w:rFonts w:hint="eastAsia" w:ascii="Arial" w:hAnsi="Arial" w:eastAsia="宋体" w:cs="Arial"/>
                <w:color w:val="00B050"/>
                <w:kern w:val="2"/>
                <w:sz w:val="21"/>
                <w:szCs w:val="22"/>
                <w:lang w:val="en-US" w:eastAsia="zh-CN"/>
              </w:rPr>
              <w:t>3</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tc>
      </w:tr>
      <w:tr w14:paraId="59E9F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14:paraId="3714D970">
            <w:pPr>
              <w:tabs>
                <w:tab w:val="left" w:pos="567"/>
              </w:tabs>
              <w:spacing w:after="0"/>
              <w:rPr>
                <w:rFonts w:ascii="Arial" w:hAnsi="Arial" w:cs="Arial"/>
                <w:b/>
              </w:rPr>
            </w:pPr>
            <w:r>
              <w:rPr>
                <w:rFonts w:ascii="Arial" w:hAnsi="Arial" w:cs="Arial"/>
                <w:b/>
              </w:rPr>
              <w:t>Overall Completion level</w:t>
            </w:r>
          </w:p>
        </w:tc>
        <w:tc>
          <w:tcPr>
            <w:tcW w:w="1846" w:type="dxa"/>
          </w:tcPr>
          <w:p w14:paraId="13C631D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2D886A83">
            <w:pPr>
              <w:tabs>
                <w:tab w:val="left" w:pos="567"/>
              </w:tabs>
              <w:spacing w:after="0"/>
              <w:rPr>
                <w:rFonts w:ascii="Arial" w:hAnsi="Arial" w:cs="Arial"/>
                <w:lang w:eastAsia="ja-JP"/>
              </w:rPr>
            </w:pPr>
          </w:p>
        </w:tc>
        <w:tc>
          <w:tcPr>
            <w:tcW w:w="1842" w:type="dxa"/>
          </w:tcPr>
          <w:p w14:paraId="4DEEDAFE">
            <w:pPr>
              <w:tabs>
                <w:tab w:val="left" w:pos="567"/>
              </w:tabs>
              <w:spacing w:after="0"/>
              <w:rPr>
                <w:rFonts w:ascii="Arial" w:hAnsi="Arial" w:cs="Arial"/>
                <w:lang w:eastAsia="ja-JP"/>
              </w:rPr>
            </w:pPr>
            <w:r>
              <w:rPr>
                <w:rFonts w:ascii="Arial" w:hAnsi="Arial" w:cs="Arial"/>
                <w:lang w:eastAsia="ja-JP"/>
              </w:rPr>
              <w:t xml:space="preserve">Core part: </w:t>
            </w:r>
          </w:p>
          <w:p w14:paraId="49D8074E">
            <w:pPr>
              <w:tabs>
                <w:tab w:val="left" w:pos="567"/>
              </w:tabs>
              <w:spacing w:after="0"/>
              <w:rPr>
                <w:rFonts w:ascii="Arial" w:hAnsi="Arial" w:cs="Arial"/>
                <w:lang w:eastAsia="ja-JP"/>
              </w:rPr>
            </w:pPr>
          </w:p>
        </w:tc>
        <w:tc>
          <w:tcPr>
            <w:tcW w:w="2268" w:type="dxa"/>
          </w:tcPr>
          <w:p w14:paraId="29722D62">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3E3F408">
            <w:pPr>
              <w:tabs>
                <w:tab w:val="left" w:pos="567"/>
              </w:tabs>
              <w:spacing w:after="0"/>
              <w:rPr>
                <w:rFonts w:ascii="Arial" w:hAnsi="Arial" w:cs="Arial"/>
                <w:lang w:eastAsia="ja-JP"/>
              </w:rPr>
            </w:pPr>
          </w:p>
        </w:tc>
        <w:tc>
          <w:tcPr>
            <w:tcW w:w="1694" w:type="dxa"/>
          </w:tcPr>
          <w:p w14:paraId="68DC5F38">
            <w:pPr>
              <w:tabs>
                <w:tab w:val="left" w:pos="567"/>
              </w:tabs>
              <w:spacing w:after="0"/>
              <w:rPr>
                <w:rFonts w:ascii="Arial" w:hAnsi="Arial" w:cs="Arial"/>
                <w:lang w:eastAsia="ja-JP"/>
              </w:rPr>
            </w:pPr>
            <w:r>
              <w:rPr>
                <w:rFonts w:ascii="Arial" w:hAnsi="Arial" w:cs="Arial"/>
                <w:lang w:eastAsia="ja-JP"/>
              </w:rPr>
              <w:t xml:space="preserve">Testing part: </w:t>
            </w:r>
          </w:p>
          <w:p w14:paraId="6929CC41">
            <w:pPr>
              <w:tabs>
                <w:tab w:val="left" w:pos="567"/>
              </w:tabs>
              <w:spacing w:after="0"/>
              <w:rPr>
                <w:rFonts w:ascii="Arial" w:hAnsi="Arial" w:eastAsia="宋体" w:cs="Arial"/>
                <w:highlight w:val="yellow"/>
                <w:lang w:val="en-US" w:eastAsia="zh-CN"/>
              </w:rPr>
            </w:pPr>
            <w:r>
              <w:rPr>
                <w:rFonts w:hint="eastAsia" w:ascii="Arial" w:hAnsi="Arial" w:cs="Arial"/>
                <w:color w:val="00B050"/>
                <w:kern w:val="2"/>
                <w:sz w:val="21"/>
                <w:szCs w:val="22"/>
                <w:lang w:val="en-US" w:eastAsia="zh-CN"/>
              </w:rPr>
              <w:t>50</w:t>
            </w:r>
            <w:r>
              <w:rPr>
                <w:rFonts w:ascii="Arial" w:hAnsi="Arial" w:cs="Arial"/>
                <w:color w:val="00B050"/>
                <w:kern w:val="2"/>
                <w:sz w:val="21"/>
                <w:szCs w:val="22"/>
                <w:lang w:val="en-US" w:eastAsia="ja-JP"/>
              </w:rPr>
              <w:t xml:space="preserve">% </w:t>
            </w:r>
          </w:p>
        </w:tc>
      </w:tr>
    </w:tbl>
    <w:p w14:paraId="34908391">
      <w:pPr>
        <w:tabs>
          <w:tab w:val="left" w:pos="567"/>
        </w:tabs>
        <w:spacing w:after="0"/>
        <w:rPr>
          <w:rFonts w:ascii="Arial" w:hAnsi="Arial" w:cs="Arial"/>
        </w:rPr>
      </w:pPr>
      <w:r>
        <w:rPr>
          <w:rFonts w:ascii="Arial" w:hAnsi="Arial" w:cs="Arial"/>
        </w:rPr>
        <w:t>Note: Overall completion level percentage numbers should use one of the colors below:</w:t>
      </w:r>
    </w:p>
    <w:p w14:paraId="29DA1CD5">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0F4A2086">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CF521C1">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31DD23E">
      <w:pPr>
        <w:pStyle w:val="88"/>
        <w:tabs>
          <w:tab w:val="left" w:pos="567"/>
        </w:tabs>
        <w:ind w:left="924" w:leftChars="0"/>
        <w:rPr>
          <w:rFonts w:ascii="Arial" w:hAnsi="Arial" w:cs="Arial"/>
          <w:color w:val="FF0000"/>
        </w:rPr>
      </w:pPr>
    </w:p>
    <w:p w14:paraId="179E2D02">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32F76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57BD5408">
            <w:pPr>
              <w:tabs>
                <w:tab w:val="left" w:pos="567"/>
              </w:tabs>
              <w:spacing w:after="0"/>
              <w:rPr>
                <w:rFonts w:ascii="Arial" w:hAnsi="Arial" w:cs="Arial"/>
                <w:b/>
              </w:rPr>
            </w:pPr>
            <w:r>
              <w:rPr>
                <w:rFonts w:ascii="Arial" w:hAnsi="Arial" w:cs="Arial"/>
                <w:b/>
              </w:rPr>
              <w:t>Leading WG</w:t>
            </w:r>
          </w:p>
        </w:tc>
        <w:tc>
          <w:tcPr>
            <w:tcW w:w="7489" w:type="dxa"/>
          </w:tcPr>
          <w:p w14:paraId="74CC0677">
            <w:pPr>
              <w:tabs>
                <w:tab w:val="left" w:pos="567"/>
              </w:tabs>
              <w:spacing w:after="0"/>
              <w:rPr>
                <w:rFonts w:ascii="Arial" w:hAnsi="Arial" w:cs="Arial"/>
                <w:color w:val="000000"/>
              </w:rPr>
            </w:pPr>
            <w:r>
              <w:rPr>
                <w:rFonts w:hint="eastAsia" w:ascii="Arial" w:hAnsi="Arial" w:cs="Arial"/>
                <w:color w:val="000000"/>
              </w:rPr>
              <w:t>TSG RAN WG5</w:t>
            </w:r>
          </w:p>
        </w:tc>
      </w:tr>
      <w:tr w14:paraId="0F13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440890EC">
            <w:pPr>
              <w:tabs>
                <w:tab w:val="left" w:pos="567"/>
              </w:tabs>
              <w:rPr>
                <w:rFonts w:ascii="Arial" w:hAnsi="Arial" w:cs="Arial"/>
                <w:b/>
              </w:rPr>
            </w:pPr>
            <w:r>
              <w:rPr>
                <w:rFonts w:ascii="Arial" w:hAnsi="Arial" w:cs="Arial"/>
                <w:b/>
              </w:rPr>
              <w:t>Rapporteur</w:t>
            </w:r>
          </w:p>
        </w:tc>
        <w:tc>
          <w:tcPr>
            <w:tcW w:w="1340" w:type="dxa"/>
          </w:tcPr>
          <w:p w14:paraId="6378889A">
            <w:pPr>
              <w:tabs>
                <w:tab w:val="left" w:pos="567"/>
              </w:tabs>
              <w:spacing w:after="0"/>
              <w:rPr>
                <w:rFonts w:ascii="Arial" w:hAnsi="Arial" w:cs="Arial"/>
                <w:b/>
              </w:rPr>
            </w:pPr>
            <w:r>
              <w:rPr>
                <w:rFonts w:ascii="Arial" w:hAnsi="Arial" w:cs="Arial"/>
                <w:b/>
              </w:rPr>
              <w:t>Name</w:t>
            </w:r>
          </w:p>
        </w:tc>
        <w:tc>
          <w:tcPr>
            <w:tcW w:w="7489" w:type="dxa"/>
          </w:tcPr>
          <w:p w14:paraId="77CAF157">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14:paraId="37B33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6B6F2B59">
            <w:pPr>
              <w:tabs>
                <w:tab w:val="left" w:pos="567"/>
              </w:tabs>
              <w:rPr>
                <w:rFonts w:ascii="Arial" w:hAnsi="Arial" w:cs="Arial"/>
                <w:b/>
              </w:rPr>
            </w:pPr>
          </w:p>
        </w:tc>
        <w:tc>
          <w:tcPr>
            <w:tcW w:w="1340" w:type="dxa"/>
          </w:tcPr>
          <w:p w14:paraId="5078C150">
            <w:pPr>
              <w:tabs>
                <w:tab w:val="left" w:pos="567"/>
              </w:tabs>
              <w:spacing w:after="0"/>
              <w:rPr>
                <w:rFonts w:ascii="Arial" w:hAnsi="Arial" w:cs="Arial"/>
                <w:b/>
              </w:rPr>
            </w:pPr>
            <w:r>
              <w:rPr>
                <w:rFonts w:ascii="Arial" w:hAnsi="Arial" w:cs="Arial"/>
                <w:b/>
              </w:rPr>
              <w:t>Company</w:t>
            </w:r>
          </w:p>
        </w:tc>
        <w:tc>
          <w:tcPr>
            <w:tcW w:w="7489" w:type="dxa"/>
          </w:tcPr>
          <w:p w14:paraId="47B97393">
            <w:pPr>
              <w:tabs>
                <w:tab w:val="left" w:pos="567"/>
              </w:tabs>
              <w:spacing w:after="0"/>
              <w:rPr>
                <w:rFonts w:ascii="Arial" w:hAnsi="Arial" w:cs="Arial"/>
                <w:lang w:eastAsia="ja-JP"/>
              </w:rPr>
            </w:pPr>
            <w:r>
              <w:rPr>
                <w:rFonts w:hint="eastAsia" w:ascii="Arial" w:hAnsi="Arial" w:cs="Arial"/>
                <w:lang w:eastAsia="ja-JP"/>
              </w:rPr>
              <w:t>China Unicom</w:t>
            </w:r>
          </w:p>
        </w:tc>
      </w:tr>
      <w:tr w14:paraId="4A5B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6E04E660">
            <w:pPr>
              <w:tabs>
                <w:tab w:val="left" w:pos="567"/>
              </w:tabs>
              <w:rPr>
                <w:rFonts w:ascii="Arial" w:hAnsi="Arial" w:cs="Arial"/>
                <w:b/>
              </w:rPr>
            </w:pPr>
          </w:p>
        </w:tc>
        <w:tc>
          <w:tcPr>
            <w:tcW w:w="1340" w:type="dxa"/>
          </w:tcPr>
          <w:p w14:paraId="618112B4">
            <w:pPr>
              <w:tabs>
                <w:tab w:val="left" w:pos="567"/>
              </w:tabs>
              <w:spacing w:after="0"/>
              <w:rPr>
                <w:rFonts w:ascii="Arial" w:hAnsi="Arial" w:cs="Arial"/>
                <w:b/>
              </w:rPr>
            </w:pPr>
            <w:r>
              <w:rPr>
                <w:rFonts w:ascii="Arial" w:hAnsi="Arial" w:cs="Arial"/>
                <w:b/>
              </w:rPr>
              <w:t>Email</w:t>
            </w:r>
          </w:p>
        </w:tc>
        <w:tc>
          <w:tcPr>
            <w:tcW w:w="7489" w:type="dxa"/>
          </w:tcPr>
          <w:p w14:paraId="7AC08DEB">
            <w:pPr>
              <w:tabs>
                <w:tab w:val="left" w:pos="567"/>
              </w:tabs>
              <w:spacing w:after="0"/>
              <w:rPr>
                <w:rFonts w:ascii="Arial" w:hAnsi="Arial" w:cs="Arial"/>
              </w:rPr>
            </w:pPr>
            <w:r>
              <w:rPr>
                <w:rFonts w:hint="eastAsia" w:ascii="Arial" w:hAnsi="Arial" w:cs="Arial"/>
              </w:rPr>
              <w:t>shiyu19@chinaunicom.cn</w:t>
            </w:r>
          </w:p>
        </w:tc>
      </w:tr>
    </w:tbl>
    <w:p w14:paraId="1444D9FE">
      <w:pPr>
        <w:pBdr>
          <w:bottom w:val="single" w:color="auto" w:sz="4" w:space="1"/>
        </w:pBdr>
        <w:spacing w:after="0"/>
        <w:rPr>
          <w:rFonts w:ascii="Arial" w:hAnsi="Arial" w:cs="Arial"/>
        </w:rPr>
      </w:pPr>
    </w:p>
    <w:p w14:paraId="5FFBE04C">
      <w:pPr>
        <w:pBdr>
          <w:bottom w:val="single" w:color="auto" w:sz="4" w:space="1"/>
        </w:pBdr>
        <w:rPr>
          <w:rFonts w:ascii="Arial" w:hAnsi="Arial" w:cs="Arial"/>
        </w:rPr>
      </w:pPr>
    </w:p>
    <w:p w14:paraId="1A2D21FB">
      <w:pPr>
        <w:pStyle w:val="3"/>
      </w:pPr>
      <w:r>
        <w:t>1</w:t>
      </w:r>
      <w:r>
        <w:tab/>
      </w:r>
      <w:r>
        <w:t>Work plan related evaluation</w:t>
      </w:r>
    </w:p>
    <w:p w14:paraId="5C6E369E">
      <w:pPr>
        <w:rPr>
          <w:rFonts w:eastAsia="等线"/>
          <w:lang w:val="en-US" w:eastAsia="zh-CN"/>
        </w:rPr>
      </w:pPr>
      <w:r>
        <w:rPr>
          <w:rFonts w:hint="eastAsia"/>
        </w:rPr>
        <w:t>N/A</w:t>
      </w:r>
    </w:p>
    <w:p w14:paraId="4793E72A">
      <w:pPr>
        <w:spacing w:after="0"/>
        <w:rPr>
          <w:rFonts w:ascii="Arial" w:hAnsi="Arial" w:cs="Arial"/>
        </w:rPr>
      </w:pPr>
    </w:p>
    <w:p w14:paraId="404D7E6C">
      <w:pPr>
        <w:pStyle w:val="3"/>
      </w:pPr>
      <w:r>
        <w:t>2.</w:t>
      </w:r>
      <w:r>
        <w:tab/>
      </w:r>
      <w:r>
        <w:t>Detailed progress in RAN WGs since last TSG meeting (for all involved WGs)</w:t>
      </w:r>
    </w:p>
    <w:p w14:paraId="0D280DB1">
      <w:pPr>
        <w:rPr>
          <w:rFonts w:ascii="Arial" w:hAnsi="Arial" w:cs="Arial"/>
        </w:rPr>
      </w:pPr>
      <w:r>
        <w:tab/>
      </w:r>
      <w:r>
        <w:rPr>
          <w:rFonts w:ascii="Arial" w:hAnsi="Arial" w:cs="Arial"/>
          <w:color w:val="FF0000"/>
        </w:rPr>
        <w:t>NOTE: Agreements and Open issues impacted cross-TSG aspects shall be explicitly highlighted</w:t>
      </w:r>
    </w:p>
    <w:p w14:paraId="7F2F6655">
      <w:pPr>
        <w:pStyle w:val="3"/>
        <w:rPr>
          <w:lang w:eastAsia="ja-JP"/>
        </w:rPr>
      </w:pPr>
      <w:r>
        <w:rPr>
          <w:lang w:eastAsia="ja-JP"/>
        </w:rPr>
        <w:t>2.1</w:t>
      </w:r>
      <w:r>
        <w:rPr>
          <w:lang w:eastAsia="ja-JP"/>
        </w:rPr>
        <w:tab/>
      </w:r>
      <w:r>
        <w:rPr>
          <w:rFonts w:hint="eastAsia"/>
          <w:lang w:eastAsia="ja-JP"/>
        </w:rPr>
        <w:t>RAN1</w:t>
      </w:r>
    </w:p>
    <w:p w14:paraId="090DC71A">
      <w:pPr>
        <w:pStyle w:val="5"/>
        <w:rPr>
          <w:lang w:eastAsia="ja-JP"/>
        </w:rPr>
      </w:pPr>
      <w:r>
        <w:rPr>
          <w:lang w:eastAsia="ja-JP"/>
        </w:rPr>
        <w:t>2.1.1</w:t>
      </w:r>
      <w:r>
        <w:rPr>
          <w:lang w:eastAsia="ja-JP"/>
        </w:rPr>
        <w:tab/>
      </w:r>
      <w:r>
        <w:rPr>
          <w:lang w:eastAsia="ja-JP"/>
        </w:rPr>
        <w:t>Agreements</w:t>
      </w:r>
    </w:p>
    <w:p w14:paraId="31A2BA0D">
      <w:pPr>
        <w:pStyle w:val="5"/>
        <w:rPr>
          <w:lang w:eastAsia="ja-JP"/>
        </w:rPr>
      </w:pPr>
      <w:r>
        <w:rPr>
          <w:lang w:eastAsia="ja-JP"/>
        </w:rPr>
        <w:t>2.1.2</w:t>
      </w:r>
      <w:r>
        <w:rPr>
          <w:lang w:eastAsia="ja-JP"/>
        </w:rPr>
        <w:tab/>
      </w:r>
      <w:r>
        <w:rPr>
          <w:lang w:eastAsia="ja-JP"/>
        </w:rPr>
        <w:t>Remaining Open issues</w:t>
      </w:r>
    </w:p>
    <w:p w14:paraId="13FD40C9">
      <w:pPr>
        <w:pStyle w:val="3"/>
        <w:rPr>
          <w:lang w:eastAsia="ja-JP"/>
        </w:rPr>
      </w:pPr>
      <w:r>
        <w:rPr>
          <w:lang w:eastAsia="ja-JP"/>
        </w:rPr>
        <w:t>2.2</w:t>
      </w:r>
      <w:r>
        <w:rPr>
          <w:lang w:eastAsia="ja-JP"/>
        </w:rPr>
        <w:tab/>
      </w:r>
      <w:r>
        <w:rPr>
          <w:rFonts w:hint="eastAsia"/>
          <w:lang w:eastAsia="ja-JP"/>
        </w:rPr>
        <w:t>RAN2</w:t>
      </w:r>
    </w:p>
    <w:p w14:paraId="1EFA8364">
      <w:pPr>
        <w:pStyle w:val="5"/>
        <w:rPr>
          <w:lang w:eastAsia="ja-JP"/>
        </w:rPr>
      </w:pPr>
      <w:r>
        <w:rPr>
          <w:lang w:eastAsia="ja-JP"/>
        </w:rPr>
        <w:t>2.2.1</w:t>
      </w:r>
      <w:r>
        <w:rPr>
          <w:lang w:eastAsia="ja-JP"/>
        </w:rPr>
        <w:tab/>
      </w:r>
      <w:r>
        <w:rPr>
          <w:lang w:eastAsia="ja-JP"/>
        </w:rPr>
        <w:t>Agreements</w:t>
      </w:r>
    </w:p>
    <w:p w14:paraId="73692528">
      <w:pPr>
        <w:pStyle w:val="5"/>
        <w:rPr>
          <w:lang w:eastAsia="ja-JP"/>
        </w:rPr>
      </w:pPr>
      <w:r>
        <w:rPr>
          <w:lang w:eastAsia="ja-JP"/>
        </w:rPr>
        <w:t>2.2.2</w:t>
      </w:r>
      <w:r>
        <w:rPr>
          <w:lang w:eastAsia="ja-JP"/>
        </w:rPr>
        <w:tab/>
      </w:r>
      <w:r>
        <w:rPr>
          <w:lang w:eastAsia="ja-JP"/>
        </w:rPr>
        <w:t xml:space="preserve">Remaining Open issues </w:t>
      </w:r>
    </w:p>
    <w:p w14:paraId="5E8FB993">
      <w:pPr>
        <w:pStyle w:val="3"/>
        <w:rPr>
          <w:lang w:eastAsia="ja-JP"/>
        </w:rPr>
      </w:pPr>
      <w:r>
        <w:rPr>
          <w:lang w:eastAsia="ja-JP"/>
        </w:rPr>
        <w:t>2.3</w:t>
      </w:r>
      <w:r>
        <w:rPr>
          <w:lang w:eastAsia="ja-JP"/>
        </w:rPr>
        <w:tab/>
      </w:r>
      <w:r>
        <w:rPr>
          <w:rFonts w:hint="eastAsia"/>
          <w:lang w:eastAsia="ja-JP"/>
        </w:rPr>
        <w:t>RAN3</w:t>
      </w:r>
    </w:p>
    <w:p w14:paraId="035FD7E0">
      <w:pPr>
        <w:pStyle w:val="5"/>
        <w:rPr>
          <w:lang w:eastAsia="ja-JP"/>
        </w:rPr>
      </w:pPr>
      <w:r>
        <w:rPr>
          <w:lang w:eastAsia="ja-JP"/>
        </w:rPr>
        <w:t>2.3.1</w:t>
      </w:r>
      <w:r>
        <w:rPr>
          <w:lang w:eastAsia="ja-JP"/>
        </w:rPr>
        <w:tab/>
      </w:r>
      <w:r>
        <w:rPr>
          <w:lang w:eastAsia="ja-JP"/>
        </w:rPr>
        <w:t>Agreements</w:t>
      </w:r>
    </w:p>
    <w:p w14:paraId="2724757E">
      <w:pPr>
        <w:pStyle w:val="5"/>
        <w:rPr>
          <w:rFonts w:cs="Arial"/>
          <w:lang w:eastAsia="ja-JP"/>
        </w:rPr>
      </w:pPr>
      <w:r>
        <w:rPr>
          <w:lang w:eastAsia="ja-JP"/>
        </w:rPr>
        <w:t>2.3.2</w:t>
      </w:r>
      <w:r>
        <w:rPr>
          <w:lang w:eastAsia="ja-JP"/>
        </w:rPr>
        <w:tab/>
      </w:r>
      <w:r>
        <w:rPr>
          <w:lang w:eastAsia="ja-JP"/>
        </w:rPr>
        <w:t>Remaining Open issues</w:t>
      </w:r>
    </w:p>
    <w:p w14:paraId="228045B5">
      <w:pPr>
        <w:pStyle w:val="3"/>
        <w:rPr>
          <w:lang w:eastAsia="ja-JP"/>
        </w:rPr>
      </w:pPr>
      <w:r>
        <w:rPr>
          <w:lang w:eastAsia="ja-JP"/>
        </w:rPr>
        <w:t>2.4</w:t>
      </w:r>
      <w:r>
        <w:rPr>
          <w:lang w:eastAsia="ja-JP"/>
        </w:rPr>
        <w:tab/>
      </w:r>
      <w:r>
        <w:rPr>
          <w:rFonts w:hint="eastAsia"/>
          <w:lang w:eastAsia="ja-JP"/>
        </w:rPr>
        <w:t>RAN4</w:t>
      </w:r>
    </w:p>
    <w:p w14:paraId="3FD56107">
      <w:pPr>
        <w:pStyle w:val="5"/>
        <w:rPr>
          <w:lang w:eastAsia="ja-JP"/>
        </w:rPr>
      </w:pPr>
      <w:r>
        <w:rPr>
          <w:lang w:eastAsia="ja-JP"/>
        </w:rPr>
        <w:t>2.4.1</w:t>
      </w:r>
      <w:r>
        <w:rPr>
          <w:lang w:eastAsia="ja-JP"/>
        </w:rPr>
        <w:tab/>
      </w:r>
      <w:r>
        <w:rPr>
          <w:lang w:eastAsia="ja-JP"/>
        </w:rPr>
        <w:t>Agreements</w:t>
      </w:r>
    </w:p>
    <w:p w14:paraId="1D1794B1">
      <w:pPr>
        <w:pStyle w:val="5"/>
        <w:rPr>
          <w:rFonts w:cs="Arial"/>
          <w:lang w:eastAsia="ja-JP"/>
        </w:rPr>
      </w:pPr>
      <w:r>
        <w:rPr>
          <w:lang w:eastAsia="ja-JP"/>
        </w:rPr>
        <w:t>2.4.2</w:t>
      </w:r>
      <w:r>
        <w:rPr>
          <w:lang w:eastAsia="ja-JP"/>
        </w:rPr>
        <w:tab/>
      </w:r>
      <w:r>
        <w:rPr>
          <w:lang w:eastAsia="ja-JP"/>
        </w:rPr>
        <w:t>Remaining Open issues</w:t>
      </w:r>
    </w:p>
    <w:p w14:paraId="1DDBE44C">
      <w:pPr>
        <w:pStyle w:val="3"/>
        <w:rPr>
          <w:lang w:eastAsia="ja-JP"/>
        </w:rPr>
      </w:pPr>
      <w:r>
        <w:rPr>
          <w:lang w:eastAsia="ja-JP"/>
        </w:rPr>
        <w:t>2.5</w:t>
      </w:r>
      <w:r>
        <w:rPr>
          <w:lang w:eastAsia="ja-JP"/>
        </w:rPr>
        <w:tab/>
      </w:r>
      <w:r>
        <w:rPr>
          <w:rFonts w:hint="eastAsia"/>
          <w:lang w:eastAsia="ja-JP"/>
        </w:rPr>
        <w:t>RAN</w:t>
      </w:r>
      <w:r>
        <w:rPr>
          <w:lang w:eastAsia="ja-JP"/>
        </w:rPr>
        <w:t>5</w:t>
      </w:r>
    </w:p>
    <w:p w14:paraId="719994EE">
      <w:pPr>
        <w:pStyle w:val="5"/>
        <w:rPr>
          <w:rFonts w:eastAsia="宋体"/>
          <w:lang w:val="en-US" w:eastAsia="zh-CN"/>
        </w:rPr>
      </w:pPr>
      <w:r>
        <w:rPr>
          <w:lang w:eastAsia="ja-JP"/>
        </w:rPr>
        <w:t>2.5.1</w:t>
      </w:r>
      <w:r>
        <w:rPr>
          <w:lang w:eastAsia="ja-JP"/>
        </w:rPr>
        <w:tab/>
      </w:r>
      <w:r>
        <w:rPr>
          <w:lang w:eastAsia="ja-JP"/>
        </w:rPr>
        <w:t>Agreements</w:t>
      </w:r>
    </w:p>
    <w:p w14:paraId="3D7BEFAF">
      <w:pPr>
        <w:rPr>
          <w:rFonts w:ascii="Arial" w:hAnsi="Arial" w:cs="Arial"/>
        </w:rPr>
      </w:pPr>
      <w:r>
        <w:rPr>
          <w:rFonts w:ascii="Arial" w:hAnsi="Arial" w:cs="Arial"/>
        </w:rPr>
        <w:t>At RAN5#</w:t>
      </w:r>
      <w:r>
        <w:rPr>
          <w:rFonts w:hint="eastAsia" w:ascii="Arial" w:hAnsi="Arial" w:eastAsia="宋体" w:cs="Arial"/>
          <w:lang w:val="en-US" w:eastAsia="zh-CN"/>
        </w:rPr>
        <w:t>109</w:t>
      </w:r>
      <w:r>
        <w:rPr>
          <w:rFonts w:ascii="Arial" w:hAnsi="Arial" w:cs="Arial"/>
        </w:rPr>
        <w:t xml:space="preserve"> meeting, </w:t>
      </w:r>
      <w:r>
        <w:rPr>
          <w:rFonts w:hint="eastAsia" w:ascii="Arial" w:hAnsi="Arial" w:eastAsia="宋体" w:cs="Arial"/>
          <w:lang w:val="en-US" w:eastAsia="zh-CN"/>
        </w:rPr>
        <w:t>14</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w:t>
      </w:r>
      <w:r>
        <w:rPr>
          <w:rFonts w:hint="eastAsia" w:ascii="Arial" w:hAnsi="Arial" w:eastAsia="宋体" w:cs="Arial"/>
          <w:lang w:val="en-US" w:eastAsia="zh-CN"/>
        </w:rPr>
        <w:t xml:space="preserve"> </w:t>
      </w:r>
      <w:r>
        <w:rPr>
          <w:rFonts w:hint="eastAsia" w:ascii="Arial" w:hAnsi="Arial" w:eastAsia="宋体" w:cs="Arial"/>
          <w:color w:val="FF0000"/>
          <w:lang w:val="en-US" w:eastAsia="zh-CN"/>
        </w:rPr>
        <w:t>50</w:t>
      </w:r>
      <w:r>
        <w:rPr>
          <w:rFonts w:ascii="Arial" w:hAnsi="Arial" w:cs="Arial"/>
          <w:color w:val="FF0000"/>
        </w:rPr>
        <w:t>%</w:t>
      </w:r>
      <w:r>
        <w:rPr>
          <w:rFonts w:ascii="Arial" w:hAnsi="Arial" w:cs="Arial"/>
        </w:rPr>
        <w:t xml:space="preserve"> complete. </w:t>
      </w:r>
    </w:p>
    <w:p w14:paraId="2EF94395">
      <w:pPr>
        <w:rPr>
          <w:rFonts w:ascii="Arial" w:hAnsi="Arial" w:cs="Arial"/>
          <w:lang w:eastAsia="ja-JP"/>
        </w:rPr>
      </w:pPr>
      <w:bookmarkStart w:id="0" w:name="_GoBack"/>
      <w:bookmarkEnd w:id="0"/>
      <w:r>
        <w:rPr>
          <w:rFonts w:ascii="Arial" w:hAnsi="Arial" w:cs="Arial"/>
        </w:rPr>
        <w:t>The</w:t>
      </w:r>
      <w:r>
        <w:rPr>
          <w:rFonts w:ascii="Arial" w:hAnsi="Arial" w:cs="Arial"/>
          <w:lang w:eastAsia="ja-JP"/>
        </w:rPr>
        <w:t xml:space="preserve"> Work Plan was updated in [1].</w:t>
      </w:r>
    </w:p>
    <w:p w14:paraId="137736F4">
      <w:pPr>
        <w:pStyle w:val="5"/>
        <w:rPr>
          <w:lang w:eastAsia="ja-JP"/>
        </w:rPr>
      </w:pPr>
      <w:r>
        <w:rPr>
          <w:lang w:eastAsia="ja-JP"/>
        </w:rPr>
        <w:t>2.5.2</w:t>
      </w:r>
      <w:r>
        <w:rPr>
          <w:lang w:eastAsia="ja-JP"/>
        </w:rPr>
        <w:tab/>
      </w:r>
      <w:r>
        <w:rPr>
          <w:lang w:eastAsia="ja-JP"/>
        </w:rPr>
        <w:t>Remaining Open issues</w:t>
      </w:r>
    </w:p>
    <w:p w14:paraId="68A29475">
      <w:pPr>
        <w:pStyle w:val="5"/>
        <w:rPr>
          <w:lang w:eastAsia="ja-JP"/>
        </w:rPr>
      </w:pPr>
      <w:r>
        <w:rPr>
          <w:lang w:eastAsia="ja-JP"/>
        </w:rPr>
        <w:t>2.5.3</w:t>
      </w:r>
      <w:r>
        <w:rPr>
          <w:lang w:eastAsia="ja-JP"/>
        </w:rPr>
        <w:tab/>
      </w:r>
      <w:r>
        <w:rPr>
          <w:lang w:eastAsia="ja-JP"/>
        </w:rPr>
        <w:t>Remaining Open issues with cross-WG dependencies</w:t>
      </w:r>
    </w:p>
    <w:p w14:paraId="23163F60">
      <w:pPr>
        <w:pStyle w:val="3"/>
        <w:rPr>
          <w:lang w:eastAsia="ja-JP"/>
        </w:rPr>
      </w:pPr>
      <w:r>
        <w:rPr>
          <w:lang w:eastAsia="ja-JP"/>
        </w:rPr>
        <w:t>2.6</w:t>
      </w:r>
      <w:r>
        <w:rPr>
          <w:lang w:eastAsia="ja-JP"/>
        </w:rPr>
        <w:tab/>
      </w:r>
      <w:r>
        <w:rPr>
          <w:rFonts w:hint="eastAsia"/>
          <w:lang w:eastAsia="ja-JP"/>
        </w:rPr>
        <w:t>RAN6</w:t>
      </w:r>
    </w:p>
    <w:p w14:paraId="4C471B5F">
      <w:pPr>
        <w:pStyle w:val="5"/>
        <w:rPr>
          <w:lang w:eastAsia="ja-JP"/>
        </w:rPr>
      </w:pPr>
      <w:r>
        <w:rPr>
          <w:lang w:eastAsia="ja-JP"/>
        </w:rPr>
        <w:t>2.6.1</w:t>
      </w:r>
      <w:r>
        <w:rPr>
          <w:lang w:eastAsia="ja-JP"/>
        </w:rPr>
        <w:tab/>
      </w:r>
      <w:r>
        <w:rPr>
          <w:lang w:eastAsia="ja-JP"/>
        </w:rPr>
        <w:t>Agreements</w:t>
      </w:r>
    </w:p>
    <w:p w14:paraId="520ECB10">
      <w:pPr>
        <w:pStyle w:val="5"/>
        <w:rPr>
          <w:rFonts w:cs="Arial"/>
          <w:lang w:eastAsia="ja-JP"/>
        </w:rPr>
      </w:pPr>
      <w:r>
        <w:rPr>
          <w:lang w:eastAsia="ja-JP"/>
        </w:rPr>
        <w:t>2.6.2</w:t>
      </w:r>
      <w:r>
        <w:rPr>
          <w:lang w:eastAsia="ja-JP"/>
        </w:rPr>
        <w:tab/>
      </w:r>
      <w:r>
        <w:rPr>
          <w:lang w:eastAsia="ja-JP"/>
        </w:rPr>
        <w:t>Remaining Open issues</w:t>
      </w:r>
    </w:p>
    <w:p w14:paraId="2C248083">
      <w:pPr>
        <w:pStyle w:val="5"/>
        <w:rPr>
          <w:rFonts w:cs="Arial"/>
        </w:rPr>
      </w:pPr>
    </w:p>
    <w:p w14:paraId="411E3F03">
      <w:pPr>
        <w:pStyle w:val="3"/>
      </w:pPr>
      <w:r>
        <w:t>3.</w:t>
      </w:r>
      <w:r>
        <w:tab/>
      </w:r>
      <w:r>
        <w:t>Detailed progress in SA/CT WGs since last TSG meeting (for all involved WGs)</w:t>
      </w:r>
    </w:p>
    <w:p w14:paraId="245D143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AA2F0DA">
      <w:pPr>
        <w:pStyle w:val="3"/>
        <w:rPr>
          <w:lang w:eastAsia="ja-JP"/>
        </w:rPr>
      </w:pPr>
      <w:r>
        <w:rPr>
          <w:lang w:eastAsia="ja-JP"/>
        </w:rPr>
        <w:t>3.1</w:t>
      </w:r>
      <w:r>
        <w:rPr>
          <w:lang w:eastAsia="ja-JP"/>
        </w:rPr>
        <w:tab/>
      </w:r>
      <w:r>
        <w:rPr>
          <w:lang w:eastAsia="ja-JP"/>
        </w:rPr>
        <w:t>SAx/CTs</w:t>
      </w:r>
    </w:p>
    <w:p w14:paraId="5D9D759D">
      <w:pPr>
        <w:pStyle w:val="5"/>
        <w:rPr>
          <w:lang w:eastAsia="ja-JP"/>
        </w:rPr>
      </w:pPr>
      <w:r>
        <w:rPr>
          <w:lang w:eastAsia="ja-JP"/>
        </w:rPr>
        <w:t>3.1.1</w:t>
      </w:r>
      <w:r>
        <w:rPr>
          <w:lang w:eastAsia="ja-JP"/>
        </w:rPr>
        <w:tab/>
      </w:r>
      <w:r>
        <w:rPr>
          <w:lang w:eastAsia="ja-JP"/>
        </w:rPr>
        <w:t>Agreements with cross-TSG impacts</w:t>
      </w:r>
    </w:p>
    <w:p w14:paraId="4020D1A1">
      <w:pPr>
        <w:pStyle w:val="5"/>
        <w:rPr>
          <w:lang w:eastAsia="ja-JP"/>
        </w:rPr>
      </w:pPr>
      <w:r>
        <w:rPr>
          <w:lang w:eastAsia="ja-JP"/>
        </w:rPr>
        <w:t>3.1.2</w:t>
      </w:r>
      <w:r>
        <w:rPr>
          <w:lang w:eastAsia="ja-JP"/>
        </w:rPr>
        <w:tab/>
      </w:r>
      <w:r>
        <w:rPr>
          <w:lang w:eastAsia="ja-JP"/>
        </w:rPr>
        <w:t>Remaining Open issues with cross-TSG impacts</w:t>
      </w:r>
    </w:p>
    <w:p w14:paraId="1A8DE0E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75E8C1C">
      <w:pPr>
        <w:pStyle w:val="3"/>
      </w:pPr>
      <w:r>
        <w:t>4.</w:t>
      </w:r>
      <w:r>
        <w:tab/>
      </w:r>
      <w:r>
        <w:t>References</w:t>
      </w:r>
    </w:p>
    <w:p w14:paraId="626F2CB4">
      <w:pPr>
        <w:tabs>
          <w:tab w:val="left" w:pos="567"/>
        </w:tabs>
        <w:overflowPunct/>
        <w:autoSpaceDE/>
        <w:autoSpaceDN/>
        <w:snapToGrid w:val="0"/>
        <w:spacing w:after="0"/>
        <w:ind w:left="567" w:hanging="567"/>
        <w:textAlignment w:val="auto"/>
        <w:rPr>
          <w:rFonts w:ascii="Arial" w:hAnsi="Arial" w:cs="Arial"/>
          <w:b/>
          <w:bCs/>
          <w:color w:val="auto"/>
        </w:rPr>
      </w:pPr>
      <w:r>
        <w:rPr>
          <w:rFonts w:ascii="Arial" w:hAnsi="Arial" w:cs="Arial"/>
          <w:b/>
          <w:bCs/>
          <w:color w:val="auto"/>
        </w:rPr>
        <w:t>Work plan:</w:t>
      </w:r>
    </w:p>
    <w:p w14:paraId="457FE679">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cs="Arial"/>
          <w:bCs/>
          <w:color w:val="auto"/>
        </w:rPr>
        <w:t>R5-2</w:t>
      </w:r>
      <w:r>
        <w:rPr>
          <w:rFonts w:hint="eastAsia" w:ascii="Arial" w:hAnsi="Arial" w:eastAsia="宋体" w:cs="Arial"/>
          <w:bCs/>
          <w:color w:val="auto"/>
          <w:lang w:val="en-US" w:eastAsia="zh-CN"/>
        </w:rPr>
        <w:t xml:space="preserve">55659  </w:t>
      </w:r>
      <w:r>
        <w:rPr>
          <w:rFonts w:hint="eastAsia" w:ascii="Arial" w:hAnsi="Arial" w:cs="Arial"/>
          <w:bCs/>
          <w:color w:val="auto"/>
        </w:rPr>
        <w:t>WP on UE Conformance - NR Support for UAV (Uncrewed Aerial Vehicles) plus CT1 aspects</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109</w:t>
      </w:r>
    </w:p>
    <w:p w14:paraId="26325B75">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14:paraId="26A754C5">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37.571-4</w:t>
      </w:r>
    </w:p>
    <w:p w14:paraId="2262EA83">
      <w:pPr>
        <w:tabs>
          <w:tab w:val="left" w:pos="426"/>
          <w:tab w:val="left" w:pos="1701"/>
        </w:tabs>
        <w:overflowPunct/>
        <w:autoSpaceDE/>
        <w:autoSpaceDN/>
        <w:snapToGrid w:val="0"/>
        <w:spacing w:after="0"/>
        <w:textAlignment w:val="auto"/>
        <w:rPr>
          <w:rFonts w:hint="default" w:ascii="Arial" w:hAnsi="Arial" w:eastAsia="宋体" w:cs="Arial"/>
          <w:b w:val="0"/>
          <w:bCs/>
          <w:color w:val="FF0000"/>
          <w:lang w:val="en-US" w:eastAsia="zh-CN"/>
        </w:rPr>
      </w:pPr>
      <w:r>
        <w:rPr>
          <w:rFonts w:hint="eastAsia" w:ascii="Arial" w:hAnsi="Arial" w:eastAsia="宋体" w:cs="Arial"/>
          <w:b w:val="0"/>
          <w:bCs/>
          <w:color w:val="FF0000"/>
          <w:lang w:val="en-US" w:eastAsia="zh-CN"/>
        </w:rPr>
        <w:t>R5-255777</w:t>
      </w:r>
      <w:r>
        <w:rPr>
          <w:rFonts w:hint="eastAsia" w:ascii="Arial" w:hAnsi="Arial" w:eastAsia="宋体" w:cs="Arial"/>
          <w:b w:val="0"/>
          <w:bCs/>
          <w:color w:val="FF0000"/>
          <w:lang w:val="en-US" w:eastAsia="zh-CN"/>
        </w:rPr>
        <w:tab/>
      </w:r>
      <w:r>
        <w:rPr>
          <w:rFonts w:hint="eastAsia" w:ascii="Arial" w:hAnsi="Arial" w:eastAsia="宋体" w:cs="Arial"/>
          <w:b w:val="0"/>
          <w:bCs/>
          <w:color w:val="FF0000"/>
          <w:lang w:val="en-US" w:eastAsia="zh-CN"/>
        </w:rPr>
        <w:t>NR UAV: Initial Test Model</w:t>
      </w:r>
      <w:r>
        <w:rPr>
          <w:rFonts w:hint="eastAsia" w:ascii="Arial" w:hAnsi="Arial" w:eastAsia="宋体" w:cs="Arial"/>
          <w:b w:val="0"/>
          <w:bCs/>
          <w:color w:val="FF0000"/>
          <w:lang w:val="en-US" w:eastAsia="zh-CN"/>
        </w:rPr>
        <w:tab/>
      </w:r>
      <w:r>
        <w:rPr>
          <w:rFonts w:hint="eastAsia" w:ascii="Arial" w:hAnsi="Arial" w:eastAsia="宋体" w:cs="Arial"/>
          <w:b w:val="0"/>
          <w:bCs/>
          <w:color w:val="FF0000"/>
          <w:lang w:val="en-US" w:eastAsia="zh-CN"/>
        </w:rPr>
        <w:t>MCC TF160</w:t>
      </w:r>
      <w:r>
        <w:rPr>
          <w:rFonts w:hint="eastAsia" w:ascii="Arial" w:hAnsi="Arial" w:eastAsia="宋体" w:cs="Arial"/>
          <w:b w:val="0"/>
          <w:bCs/>
          <w:color w:val="FF0000"/>
          <w:lang w:val="en-US" w:eastAsia="zh-CN"/>
        </w:rPr>
        <w:tab/>
      </w:r>
      <w:r>
        <w:rPr>
          <w:rFonts w:hint="eastAsia" w:ascii="Arial" w:hAnsi="Arial" w:eastAsia="宋体" w:cs="Arial"/>
          <w:b w:val="0"/>
          <w:bCs/>
          <w:color w:val="FF0000"/>
          <w:lang w:val="en-US" w:eastAsia="zh-CN"/>
        </w:rPr>
        <w:t xml:space="preserve"> </w:t>
      </w:r>
      <w:r>
        <w:rPr>
          <w:rFonts w:hint="eastAsia" w:ascii="Arial" w:hAnsi="Arial" w:eastAsia="宋体" w:cs="Arial"/>
          <w:bCs/>
          <w:color w:val="FF0000"/>
          <w:lang w:val="en-US" w:eastAsia="zh-CN"/>
        </w:rPr>
        <w:t>RAN5#109</w:t>
      </w:r>
    </w:p>
    <w:p w14:paraId="5802851D">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14:paraId="28267C78">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38.508-1</w:t>
      </w:r>
    </w:p>
    <w:p w14:paraId="7F1E9292">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Common configuration updates related to UAV</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RAN5#108</w:t>
      </w:r>
    </w:p>
    <w:p w14:paraId="7CC6EBB4">
      <w:pPr>
        <w:tabs>
          <w:tab w:val="left" w:pos="426"/>
          <w:tab w:val="left" w:pos="1701"/>
        </w:tabs>
        <w:overflowPunct/>
        <w:autoSpaceDE/>
        <w:autoSpaceDN/>
        <w:snapToGrid w:val="0"/>
        <w:spacing w:after="0"/>
        <w:textAlignment w:val="auto"/>
        <w:rPr>
          <w:rFonts w:hint="eastAsia" w:ascii="Arial" w:hAnsi="Arial" w:eastAsia="宋体" w:cs="Arial"/>
          <w:b w:val="0"/>
          <w:bCs/>
          <w:color w:val="FF0000"/>
          <w:lang w:val="en-US" w:eastAsia="zh-CN"/>
        </w:rPr>
      </w:pPr>
      <w:r>
        <w:rPr>
          <w:rFonts w:hint="default" w:ascii="Arial" w:hAnsi="Arial" w:eastAsia="宋体" w:cs="Arial"/>
          <w:b w:val="0"/>
          <w:bCs/>
          <w:color w:val="FF0000"/>
          <w:lang w:val="en-US" w:eastAsia="zh-CN"/>
        </w:rPr>
        <w:t>R5-255896</w:t>
      </w:r>
      <w:r>
        <w:rPr>
          <w:rFonts w:hint="default" w:ascii="Arial" w:hAnsi="Arial" w:eastAsia="宋体" w:cs="Arial"/>
          <w:b w:val="0"/>
          <w:bCs/>
          <w:color w:val="FF0000"/>
          <w:lang w:val="en-US" w:eastAsia="zh-CN"/>
        </w:rPr>
        <w:tab/>
      </w:r>
      <w:r>
        <w:rPr>
          <w:rFonts w:hint="default" w:ascii="Arial" w:hAnsi="Arial" w:eastAsia="宋体" w:cs="Arial"/>
          <w:b w:val="0"/>
          <w:bCs/>
          <w:color w:val="FF0000"/>
          <w:lang w:val="en-US" w:eastAsia="zh-CN"/>
        </w:rPr>
        <w:t>Updates to Radio resource control information elements for Aerial Ues</w:t>
      </w:r>
      <w:r>
        <w:rPr>
          <w:rFonts w:hint="default" w:ascii="Arial" w:hAnsi="Arial" w:eastAsia="宋体" w:cs="Arial"/>
          <w:b w:val="0"/>
          <w:bCs/>
          <w:color w:val="FF0000"/>
          <w:lang w:val="en-US" w:eastAsia="zh-CN"/>
        </w:rPr>
        <w:tab/>
      </w:r>
      <w:r>
        <w:rPr>
          <w:rFonts w:hint="eastAsia" w:ascii="Arial" w:hAnsi="Arial" w:eastAsia="宋体" w:cs="Arial"/>
          <w:b w:val="0"/>
          <w:bCs/>
          <w:color w:val="FF0000"/>
          <w:lang w:val="en-US" w:eastAsia="zh-CN"/>
        </w:rPr>
        <w:t xml:space="preserve"> </w:t>
      </w:r>
      <w:r>
        <w:rPr>
          <w:rFonts w:hint="default" w:ascii="Arial" w:hAnsi="Arial" w:eastAsia="宋体" w:cs="Arial"/>
          <w:b w:val="0"/>
          <w:bCs/>
          <w:color w:val="FF0000"/>
          <w:lang w:val="en-US" w:eastAsia="zh-CN"/>
        </w:rPr>
        <w:t>Qualcomm Atheros, Inc.</w:t>
      </w:r>
      <w:r>
        <w:rPr>
          <w:rFonts w:hint="eastAsia" w:ascii="Arial" w:hAnsi="Arial" w:eastAsia="宋体" w:cs="Arial"/>
          <w:b w:val="0"/>
          <w:bCs/>
          <w:color w:val="FF0000"/>
          <w:lang w:val="en-US" w:eastAsia="zh-CN"/>
        </w:rPr>
        <w:t>; RAN5#109</w:t>
      </w:r>
    </w:p>
    <w:p w14:paraId="0805D3C4">
      <w:pPr>
        <w:tabs>
          <w:tab w:val="left" w:pos="426"/>
          <w:tab w:val="left" w:pos="1701"/>
        </w:tabs>
        <w:overflowPunct/>
        <w:autoSpaceDE/>
        <w:autoSpaceDN/>
        <w:snapToGrid w:val="0"/>
        <w:spacing w:after="0"/>
        <w:textAlignment w:val="auto"/>
        <w:rPr>
          <w:rFonts w:hint="default" w:ascii="Arial" w:hAnsi="Arial" w:eastAsia="宋体" w:cs="Arial"/>
          <w:b w:val="0"/>
          <w:bCs/>
          <w:color w:val="FF0000"/>
          <w:lang w:val="en-US" w:eastAsia="zh-CN"/>
        </w:rPr>
      </w:pPr>
    </w:p>
    <w:p w14:paraId="7662256E">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38.508-2:</w:t>
      </w:r>
    </w:p>
    <w:p w14:paraId="112E2E6C">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R5-253151 Addition of new PICS for Aerial UE Capabilities; Qualcomm Tech. Netherlands B.V; RAN5#107</w:t>
      </w:r>
    </w:p>
    <w:p w14:paraId="42EDFD12">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14:paraId="3D22608C">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38.521-1:</w:t>
      </w:r>
    </w:p>
    <w:p w14:paraId="1CA5DB8F">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R5-253442 Introduction of Aerial UE transmitter requirements; Nokia; RAN5#107</w:t>
      </w:r>
    </w:p>
    <w:p w14:paraId="6F043ACF">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R5-252153 Introduction of Aerial UE requirements into clauses 2-5; Nokia; RAN5#107</w:t>
      </w:r>
    </w:p>
    <w:p w14:paraId="49018E61">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R5-253869 Addition of Aerial UE A-MPR and additional spurious emissions test requirements; Nokia; RAN5#108</w:t>
      </w:r>
    </w:p>
    <w:p w14:paraId="0CB701CF">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default" w:ascii="Arial" w:hAnsi="Arial" w:eastAsia="宋体" w:cs="Arial"/>
          <w:bCs/>
          <w:color w:val="auto"/>
          <w:lang w:val="en-US" w:eastAsia="zh-CN"/>
        </w:rPr>
        <w:t>R5-255237</w:t>
      </w:r>
      <w:r>
        <w:rPr>
          <w:rFonts w:hint="eastAsia" w:ascii="Arial" w:hAnsi="Arial" w:eastAsia="宋体" w:cs="Arial"/>
          <w:bCs/>
          <w:color w:val="auto"/>
          <w:lang w:val="en-US" w:eastAsia="zh-CN"/>
        </w:rPr>
        <w:t xml:space="preserve"> </w:t>
      </w:r>
      <w:r>
        <w:rPr>
          <w:rFonts w:hint="default" w:ascii="Arial" w:hAnsi="Arial" w:eastAsia="宋体" w:cs="Arial"/>
          <w:bCs/>
          <w:color w:val="auto"/>
          <w:lang w:val="en-US" w:eastAsia="zh-CN"/>
        </w:rPr>
        <w:t>Addition of test point analysis for NS_UAV_44, NS_UAV_46 and NS_UAV_70</w:t>
      </w:r>
      <w:r>
        <w:rPr>
          <w:rFonts w:hint="eastAsia" w:ascii="Arial" w:hAnsi="Arial" w:eastAsia="宋体" w:cs="Arial"/>
          <w:bCs/>
          <w:color w:val="auto"/>
          <w:lang w:val="en-US" w:eastAsia="zh-CN"/>
        </w:rPr>
        <w:t>; Nokia; RAN5#108</w:t>
      </w:r>
    </w:p>
    <w:p w14:paraId="79FA387B">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p>
    <w:p w14:paraId="5E7E9F6E">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14:paraId="5684CF0C">
      <w:pPr>
        <w:tabs>
          <w:tab w:val="left" w:pos="426"/>
          <w:tab w:val="left" w:pos="1701"/>
        </w:tabs>
        <w:overflowPunct/>
        <w:autoSpaceDE/>
        <w:autoSpaceDN/>
        <w:snapToGrid w:val="0"/>
        <w:spacing w:after="0"/>
        <w:textAlignment w:val="auto"/>
        <w:rPr>
          <w:rFonts w:hint="default" w:ascii="Arial" w:hAnsi="Arial" w:eastAsia="宋体" w:cs="Arial"/>
          <w:b/>
          <w:bCs w:val="0"/>
          <w:color w:val="auto"/>
          <w:lang w:val="en-US" w:eastAsia="zh-CN"/>
        </w:rPr>
      </w:pPr>
      <w:r>
        <w:rPr>
          <w:rFonts w:hint="eastAsia" w:ascii="Arial" w:hAnsi="Arial" w:eastAsia="宋体" w:cs="Arial"/>
          <w:b/>
          <w:bCs w:val="0"/>
          <w:color w:val="auto"/>
          <w:lang w:val="en-US" w:eastAsia="zh-CN"/>
        </w:rPr>
        <w:t>38.523-1:</w:t>
      </w:r>
    </w:p>
    <w:p w14:paraId="751A3D31">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 Test Case for event H1 reporting</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14:paraId="16FAF087">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8.1.3.5.2 Test Case for event H2 reporting</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14:paraId="047908BD">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R5-255043</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8.1.3.5.3 Test Case for event A3H1 reporting for Intra-Frequency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14:paraId="2BF9F567">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R5-255044</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8.1.3.5.4 Test Case for event A3H1 reporting for Inter-Frequency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14:paraId="7517B91A">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R5-255045</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8.1.3.5.5 Test Case for event A3H1 reporting for Inter-Band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14:paraId="2F15CAED">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R5-255046</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8.1.3.5.9 Test Case for event A4H1 reporting for Intra-Frequency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 RAN5#108</w:t>
      </w:r>
    </w:p>
    <w:p w14:paraId="3B4C1619">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R5-255059</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8.1.3.5.10 Test Case for event A4H1 reporting for Inter-Frequency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 RAN5#108</w:t>
      </w:r>
    </w:p>
    <w:p w14:paraId="14B3B6A1">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R5-255060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8.1.3.5.11 Test Case for event A4H1 reporting for Inter-Band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RAN5#108</w:t>
      </w:r>
    </w:p>
    <w:p w14:paraId="3C9EE484">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R5-256712</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new UAV test case 8.1.3.5.12 for event A4H2 for Intra-frequency Neighbour</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RAN5#109</w:t>
      </w:r>
    </w:p>
    <w:p w14:paraId="63CDDD00">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R5-256714</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new UAV test case 8.1.3.5.13 for event A4H2 for Inter-frequency Neighbour</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RAN5#109</w:t>
      </w:r>
    </w:p>
    <w:p w14:paraId="2D811A10">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R5-256715</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new UAV test case 8.1.3.5.14 for event A4H2 for Inter-band Neighbour</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RAN5#109</w:t>
      </w:r>
    </w:p>
    <w:p w14:paraId="1424D994">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R5-256647</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Corrections to UAV event A3H1 reporting test cases</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Atheros, Inc.; RAN5#109</w:t>
      </w:r>
    </w:p>
    <w:p w14:paraId="25660701">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R5-256648</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Corrections to UAV event H1 and H2 reporting test cases</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Atheros, Inc.; RAN5#109</w:t>
      </w:r>
    </w:p>
    <w:p w14:paraId="55DD9756">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R5-256649</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new UAV Test Case 8.1.3.5.6 Test Case for event A3H2 reporting for Intra-Frequency Neighbour</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Atheros, Inc.; RAN5#109</w:t>
      </w:r>
    </w:p>
    <w:p w14:paraId="411B93E8">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R5-255893</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new UAV Test Case 8.1.3.5.7 Test Case for event A3H2 reporting for Inter-Frequency Neighbour</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Atheros, Inc.; RAN5#109</w:t>
      </w:r>
    </w:p>
    <w:p w14:paraId="1E8D2A48">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R5-256650</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new UAV Test Case 8.1.3.5.8 Test Case for event A3H2 reporting for Interband Neighbour</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Atheros, Inc.; RAN5#109</w:t>
      </w:r>
    </w:p>
    <w:p w14:paraId="59F0A82C">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R5-256713</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Corrections to UAV test case 8.1.3.5.9 for event A4H1</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RAN5#109</w:t>
      </w:r>
    </w:p>
    <w:p w14:paraId="3A6B950F">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14:paraId="434B7C03">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38.523-2:</w:t>
      </w:r>
    </w:p>
    <w:p w14:paraId="612C2280">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R5-255090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applicability for new UAV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14:paraId="570B0761">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R5-255682</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applicability for new UAV test cases</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RAN5#109</w:t>
      </w:r>
    </w:p>
    <w:p w14:paraId="2B9AE9F4">
      <w:pPr>
        <w:tabs>
          <w:tab w:val="left" w:pos="426"/>
          <w:tab w:val="left" w:pos="1701"/>
        </w:tabs>
        <w:overflowPunct/>
        <w:autoSpaceDE/>
        <w:autoSpaceDN/>
        <w:snapToGrid w:val="0"/>
        <w:spacing w:after="0"/>
        <w:ind w:left="1701" w:hanging="1701"/>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R5-255895</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applicability for new UAV test cases</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Atheros, Inc.; RAN5#109</w:t>
      </w:r>
    </w:p>
    <w:p w14:paraId="7961AB25">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14:paraId="6C1E1F72">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38.523-3</w:t>
      </w:r>
    </w:p>
    <w:p w14:paraId="33BEB539">
      <w:pPr>
        <w:tabs>
          <w:tab w:val="left" w:pos="426"/>
          <w:tab w:val="left" w:pos="1701"/>
        </w:tabs>
        <w:overflowPunct/>
        <w:autoSpaceDE/>
        <w:autoSpaceDN/>
        <w:snapToGrid w:val="0"/>
        <w:spacing w:after="0"/>
        <w:textAlignment w:val="auto"/>
        <w:rPr>
          <w:rFonts w:hint="default" w:ascii="Arial" w:hAnsi="Arial" w:eastAsia="宋体" w:cs="Arial"/>
          <w:b w:val="0"/>
          <w:bCs/>
          <w:color w:val="FF0000"/>
          <w:lang w:val="en-US" w:eastAsia="zh-CN"/>
        </w:rPr>
      </w:pPr>
      <w:r>
        <w:rPr>
          <w:rFonts w:hint="default" w:ascii="Arial" w:hAnsi="Arial" w:eastAsia="宋体" w:cs="Arial"/>
          <w:b w:val="0"/>
          <w:bCs/>
          <w:color w:val="FF0000"/>
          <w:lang w:val="en-US" w:eastAsia="zh-CN"/>
        </w:rPr>
        <w:t>R5-255776</w:t>
      </w:r>
      <w:r>
        <w:rPr>
          <w:rFonts w:hint="default" w:ascii="Arial" w:hAnsi="Arial" w:eastAsia="宋体" w:cs="Arial"/>
          <w:b w:val="0"/>
          <w:bCs/>
          <w:color w:val="FF0000"/>
          <w:lang w:val="en-US" w:eastAsia="zh-CN"/>
        </w:rPr>
        <w:tab/>
      </w:r>
      <w:r>
        <w:rPr>
          <w:rFonts w:hint="default" w:ascii="Arial" w:hAnsi="Arial" w:eastAsia="宋体" w:cs="Arial"/>
          <w:b w:val="0"/>
          <w:bCs/>
          <w:color w:val="FF0000"/>
          <w:lang w:val="en-US" w:eastAsia="zh-CN"/>
        </w:rPr>
        <w:t>NR UAV: Initial Test Model</w:t>
      </w:r>
      <w:r>
        <w:rPr>
          <w:rFonts w:hint="default" w:ascii="Arial" w:hAnsi="Arial" w:eastAsia="宋体" w:cs="Arial"/>
          <w:b w:val="0"/>
          <w:bCs/>
          <w:color w:val="FF0000"/>
          <w:lang w:val="en-US" w:eastAsia="zh-CN"/>
        </w:rPr>
        <w:tab/>
      </w:r>
      <w:r>
        <w:rPr>
          <w:rFonts w:hint="default" w:ascii="Arial" w:hAnsi="Arial" w:eastAsia="宋体" w:cs="Arial"/>
          <w:b w:val="0"/>
          <w:bCs/>
          <w:color w:val="FF0000"/>
          <w:lang w:val="en-US" w:eastAsia="zh-CN"/>
        </w:rPr>
        <w:t>MCC TF160</w:t>
      </w:r>
      <w:r>
        <w:rPr>
          <w:rFonts w:hint="eastAsia" w:ascii="Arial" w:hAnsi="Arial" w:eastAsia="宋体" w:cs="Arial"/>
          <w:b w:val="0"/>
          <w:bCs/>
          <w:color w:val="FF0000"/>
          <w:lang w:val="en-US" w:eastAsia="zh-CN"/>
        </w:rPr>
        <w:t xml:space="preserve">  RAN5#109</w:t>
      </w:r>
    </w:p>
    <w:p w14:paraId="21F59F99">
      <w:pPr>
        <w:pStyle w:val="110"/>
        <w:rPr>
          <w:color w:val="auto"/>
          <w:sz w:val="12"/>
          <w:szCs w:val="12"/>
        </w:rPr>
      </w:pPr>
    </w:p>
    <w:p w14:paraId="2C265589">
      <w:pPr>
        <w:pStyle w:val="110"/>
        <w:rPr>
          <w:color w:val="auto"/>
          <w:sz w:val="12"/>
          <w:szCs w:val="12"/>
        </w:rPr>
      </w:pPr>
    </w:p>
    <w:p w14:paraId="3D1A2B90">
      <w:pPr>
        <w:pStyle w:val="110"/>
        <w:rPr>
          <w:color w:val="auto"/>
          <w:sz w:val="12"/>
          <w:szCs w:val="12"/>
        </w:rPr>
      </w:pPr>
      <w:r>
        <w:rPr>
          <w:rFonts w:hint="eastAsia"/>
          <w:color w:val="auto"/>
          <w:sz w:val="12"/>
          <w:szCs w:val="12"/>
        </w:rPr>
        <w:tab/>
      </w:r>
      <w:r>
        <w:rPr>
          <w:color w:val="auto"/>
          <w:sz w:val="12"/>
          <w:szCs w:val="12"/>
        </w:rPr>
        <w:t>26.04.2023</w:t>
      </w:r>
      <w:r>
        <w:rPr>
          <w:color w:val="auto"/>
          <w:sz w:val="12"/>
          <w:szCs w:val="12"/>
        </w:rPr>
        <w:tab/>
      </w:r>
      <w:r>
        <w:rPr>
          <w:color w:val="auto"/>
          <w:sz w:val="12"/>
          <w:szCs w:val="12"/>
        </w:rPr>
        <w:tab/>
      </w:r>
      <w:r>
        <w:rPr>
          <w:color w:val="auto"/>
          <w:sz w:val="12"/>
          <w:szCs w:val="12"/>
        </w:rPr>
        <w:t>minor adaptations for RAN #100</w:t>
      </w:r>
    </w:p>
    <w:p w14:paraId="3577F7E6">
      <w:pPr>
        <w:pStyle w:val="110"/>
        <w:rPr>
          <w:color w:val="auto"/>
          <w:sz w:val="12"/>
          <w:szCs w:val="12"/>
        </w:rPr>
      </w:pPr>
      <w:r>
        <w:rPr>
          <w:color w:val="auto"/>
          <w:sz w:val="12"/>
          <w:szCs w:val="12"/>
        </w:rPr>
        <w:tab/>
      </w:r>
      <w:r>
        <w:rPr>
          <w:color w:val="auto"/>
          <w:sz w:val="12"/>
          <w:szCs w:val="12"/>
        </w:rPr>
        <w:t>01.02.2023</w:t>
      </w:r>
      <w:r>
        <w:rPr>
          <w:color w:val="auto"/>
          <w:sz w:val="12"/>
          <w:szCs w:val="12"/>
        </w:rPr>
        <w:tab/>
      </w:r>
      <w:r>
        <w:rPr>
          <w:color w:val="auto"/>
          <w:sz w:val="12"/>
          <w:szCs w:val="12"/>
        </w:rPr>
        <w:tab/>
      </w:r>
      <w:r>
        <w:rPr>
          <w:color w:val="auto"/>
          <w:sz w:val="12"/>
          <w:szCs w:val="12"/>
        </w:rPr>
        <w:t>minor adaptations for RAN #99</w:t>
      </w:r>
    </w:p>
    <w:p w14:paraId="5C39C227">
      <w:pPr>
        <w:pStyle w:val="110"/>
        <w:rPr>
          <w:color w:val="auto"/>
          <w:sz w:val="12"/>
          <w:szCs w:val="12"/>
        </w:rPr>
      </w:pPr>
      <w:r>
        <w:rPr>
          <w:color w:val="auto"/>
          <w:sz w:val="12"/>
          <w:szCs w:val="12"/>
        </w:rPr>
        <w:tab/>
      </w:r>
      <w:r>
        <w:rPr>
          <w:color w:val="auto"/>
          <w:sz w:val="12"/>
          <w:szCs w:val="12"/>
        </w:rPr>
        <w:t>27.10.2022</w:t>
      </w:r>
      <w:r>
        <w:rPr>
          <w:color w:val="auto"/>
          <w:sz w:val="12"/>
          <w:szCs w:val="12"/>
        </w:rPr>
        <w:tab/>
      </w:r>
      <w:r>
        <w:rPr>
          <w:color w:val="auto"/>
          <w:sz w:val="12"/>
          <w:szCs w:val="12"/>
        </w:rPr>
        <w:tab/>
      </w:r>
      <w:r>
        <w:rPr>
          <w:color w:val="auto"/>
          <w:sz w:val="12"/>
          <w:szCs w:val="12"/>
        </w:rPr>
        <w:t>minor adaptations for RAN #98e</w:t>
      </w:r>
    </w:p>
    <w:p w14:paraId="731A08CC">
      <w:pPr>
        <w:pStyle w:val="110"/>
        <w:rPr>
          <w:color w:val="auto"/>
          <w:sz w:val="12"/>
          <w:szCs w:val="12"/>
        </w:rPr>
      </w:pPr>
      <w:r>
        <w:rPr>
          <w:color w:val="auto"/>
          <w:sz w:val="12"/>
          <w:szCs w:val="12"/>
        </w:rPr>
        <w:tab/>
      </w:r>
      <w:r>
        <w:rPr>
          <w:color w:val="auto"/>
          <w:sz w:val="12"/>
          <w:szCs w:val="12"/>
        </w:rPr>
        <w:t>01.08.2022</w:t>
      </w:r>
      <w:r>
        <w:rPr>
          <w:color w:val="auto"/>
          <w:sz w:val="12"/>
          <w:szCs w:val="12"/>
        </w:rPr>
        <w:tab/>
      </w:r>
      <w:r>
        <w:rPr>
          <w:color w:val="auto"/>
          <w:sz w:val="12"/>
          <w:szCs w:val="12"/>
        </w:rPr>
        <w:tab/>
      </w:r>
      <w:r>
        <w:rPr>
          <w:color w:val="auto"/>
          <w:sz w:val="12"/>
          <w:szCs w:val="12"/>
        </w:rPr>
        <w:t>minor adaptations for RAN #97e</w:t>
      </w:r>
    </w:p>
    <w:p w14:paraId="4669EEFE">
      <w:pPr>
        <w:pStyle w:val="110"/>
        <w:rPr>
          <w:color w:val="auto"/>
          <w:sz w:val="12"/>
          <w:szCs w:val="12"/>
        </w:rPr>
      </w:pPr>
      <w:r>
        <w:rPr>
          <w:color w:val="auto"/>
          <w:sz w:val="12"/>
          <w:szCs w:val="12"/>
        </w:rPr>
        <w:tab/>
      </w:r>
      <w:r>
        <w:rPr>
          <w:color w:val="auto"/>
          <w:sz w:val="12"/>
          <w:szCs w:val="12"/>
        </w:rPr>
        <w:t>21.05.2022</w:t>
      </w:r>
      <w:r>
        <w:rPr>
          <w:color w:val="auto"/>
          <w:sz w:val="12"/>
          <w:szCs w:val="12"/>
        </w:rPr>
        <w:tab/>
      </w:r>
      <w:r>
        <w:rPr>
          <w:color w:val="auto"/>
          <w:sz w:val="12"/>
          <w:szCs w:val="12"/>
        </w:rPr>
        <w:tab/>
      </w:r>
      <w:r>
        <w:rPr>
          <w:color w:val="auto"/>
          <w:sz w:val="12"/>
          <w:szCs w:val="12"/>
        </w:rPr>
        <w:t>minor adaptations for RAN #96</w:t>
      </w:r>
    </w:p>
    <w:p w14:paraId="268DB728">
      <w:pPr>
        <w:pStyle w:val="110"/>
        <w:rPr>
          <w:color w:val="auto"/>
          <w:sz w:val="12"/>
          <w:szCs w:val="12"/>
        </w:rPr>
      </w:pPr>
      <w:r>
        <w:rPr>
          <w:color w:val="auto"/>
          <w:sz w:val="12"/>
          <w:szCs w:val="12"/>
        </w:rPr>
        <w:tab/>
      </w:r>
      <w:r>
        <w:rPr>
          <w:color w:val="auto"/>
          <w:sz w:val="12"/>
          <w:szCs w:val="12"/>
        </w:rPr>
        <w:t>10.01.2022</w:t>
      </w:r>
      <w:r>
        <w:rPr>
          <w:color w:val="auto"/>
          <w:sz w:val="12"/>
          <w:szCs w:val="12"/>
        </w:rPr>
        <w:tab/>
      </w:r>
      <w:r>
        <w:rPr>
          <w:color w:val="auto"/>
          <w:sz w:val="12"/>
          <w:szCs w:val="12"/>
        </w:rPr>
        <w:tab/>
      </w:r>
      <w:r>
        <w:rPr>
          <w:color w:val="auto"/>
          <w:sz w:val="12"/>
          <w:szCs w:val="12"/>
        </w:rPr>
        <w:t>minor adaptations for RAN #95e</w:t>
      </w:r>
    </w:p>
    <w:p w14:paraId="0EFA67AC">
      <w:pPr>
        <w:pStyle w:val="110"/>
        <w:rPr>
          <w:color w:val="auto"/>
          <w:sz w:val="12"/>
          <w:szCs w:val="12"/>
        </w:rPr>
      </w:pPr>
      <w:r>
        <w:rPr>
          <w:color w:val="auto"/>
          <w:sz w:val="12"/>
          <w:szCs w:val="12"/>
        </w:rPr>
        <w:tab/>
      </w:r>
      <w:r>
        <w:rPr>
          <w:color w:val="auto"/>
          <w:sz w:val="12"/>
          <w:szCs w:val="12"/>
        </w:rPr>
        <w:t>04.10.2021</w:t>
      </w:r>
      <w:r>
        <w:rPr>
          <w:color w:val="auto"/>
          <w:sz w:val="12"/>
          <w:szCs w:val="12"/>
        </w:rPr>
        <w:tab/>
      </w:r>
      <w:r>
        <w:rPr>
          <w:color w:val="auto"/>
          <w:sz w:val="12"/>
          <w:szCs w:val="12"/>
        </w:rPr>
        <w:tab/>
      </w:r>
      <w:r>
        <w:rPr>
          <w:color w:val="auto"/>
          <w:sz w:val="12"/>
          <w:szCs w:val="12"/>
        </w:rPr>
        <w:t>minor adaptations for RAN #94e</w:t>
      </w:r>
    </w:p>
    <w:p w14:paraId="619FC8B8">
      <w:pPr>
        <w:pStyle w:val="110"/>
        <w:rPr>
          <w:color w:val="auto"/>
          <w:sz w:val="12"/>
          <w:szCs w:val="12"/>
        </w:rPr>
      </w:pPr>
      <w:r>
        <w:rPr>
          <w:color w:val="auto"/>
          <w:sz w:val="12"/>
          <w:szCs w:val="12"/>
        </w:rPr>
        <w:tab/>
      </w:r>
      <w:r>
        <w:rPr>
          <w:color w:val="auto"/>
          <w:sz w:val="12"/>
          <w:szCs w:val="12"/>
        </w:rPr>
        <w:t>08.08.2021</w:t>
      </w:r>
      <w:r>
        <w:rPr>
          <w:color w:val="auto"/>
          <w:sz w:val="12"/>
          <w:szCs w:val="12"/>
        </w:rPr>
        <w:tab/>
      </w:r>
      <w:r>
        <w:rPr>
          <w:color w:val="auto"/>
          <w:sz w:val="12"/>
          <w:szCs w:val="12"/>
        </w:rPr>
        <w:tab/>
      </w:r>
      <w:r>
        <w:rPr>
          <w:color w:val="auto"/>
          <w:sz w:val="12"/>
          <w:szCs w:val="12"/>
        </w:rPr>
        <w:t>minor adaptations for RAN #93e</w:t>
      </w:r>
    </w:p>
    <w:p w14:paraId="0093F829">
      <w:pPr>
        <w:pStyle w:val="110"/>
        <w:rPr>
          <w:color w:val="auto"/>
          <w:sz w:val="12"/>
          <w:szCs w:val="12"/>
        </w:rPr>
      </w:pPr>
      <w:r>
        <w:rPr>
          <w:color w:val="auto"/>
          <w:sz w:val="12"/>
          <w:szCs w:val="12"/>
        </w:rPr>
        <w:tab/>
      </w:r>
      <w:r>
        <w:rPr>
          <w:color w:val="auto"/>
          <w:sz w:val="12"/>
          <w:szCs w:val="12"/>
        </w:rPr>
        <w:t>17.05.2021</w:t>
      </w:r>
      <w:r>
        <w:rPr>
          <w:color w:val="auto"/>
          <w:sz w:val="12"/>
          <w:szCs w:val="12"/>
        </w:rPr>
        <w:tab/>
      </w:r>
      <w:r>
        <w:rPr>
          <w:color w:val="auto"/>
          <w:sz w:val="12"/>
          <w:szCs w:val="12"/>
        </w:rPr>
        <w:tab/>
      </w:r>
      <w:r>
        <w:rPr>
          <w:color w:val="auto"/>
          <w:sz w:val="12"/>
          <w:szCs w:val="12"/>
        </w:rPr>
        <w:t>minor adaptations for RAN #92e</w:t>
      </w:r>
    </w:p>
    <w:p w14:paraId="1BB12D65">
      <w:pPr>
        <w:pStyle w:val="110"/>
        <w:rPr>
          <w:color w:val="auto"/>
          <w:sz w:val="12"/>
          <w:szCs w:val="12"/>
        </w:rPr>
      </w:pPr>
      <w:r>
        <w:rPr>
          <w:color w:val="auto"/>
          <w:sz w:val="12"/>
          <w:szCs w:val="12"/>
        </w:rPr>
        <w:tab/>
      </w:r>
      <w:r>
        <w:rPr>
          <w:color w:val="auto"/>
          <w:sz w:val="12"/>
          <w:szCs w:val="12"/>
        </w:rPr>
        <w:t>28.01.2021</w:t>
      </w:r>
      <w:r>
        <w:rPr>
          <w:color w:val="auto"/>
          <w:sz w:val="12"/>
          <w:szCs w:val="12"/>
        </w:rPr>
        <w:tab/>
      </w:r>
      <w:r>
        <w:rPr>
          <w:color w:val="auto"/>
          <w:sz w:val="12"/>
          <w:szCs w:val="12"/>
        </w:rPr>
        <w:tab/>
      </w:r>
      <w:r>
        <w:rPr>
          <w:color w:val="auto"/>
          <w:sz w:val="12"/>
          <w:szCs w:val="12"/>
        </w:rPr>
        <w:t>minor adaptations for RAN #91e</w:t>
      </w:r>
    </w:p>
    <w:p w14:paraId="6F9F8039">
      <w:pPr>
        <w:pStyle w:val="110"/>
        <w:rPr>
          <w:color w:val="auto"/>
          <w:sz w:val="12"/>
          <w:szCs w:val="12"/>
        </w:rPr>
      </w:pPr>
      <w:r>
        <w:rPr>
          <w:color w:val="auto"/>
          <w:sz w:val="12"/>
          <w:szCs w:val="12"/>
        </w:rPr>
        <w:tab/>
      </w:r>
      <w:r>
        <w:rPr>
          <w:color w:val="auto"/>
          <w:sz w:val="12"/>
          <w:szCs w:val="12"/>
        </w:rPr>
        <w:t>09.11.2020</w:t>
      </w:r>
      <w:r>
        <w:rPr>
          <w:color w:val="auto"/>
          <w:sz w:val="12"/>
          <w:szCs w:val="12"/>
        </w:rPr>
        <w:tab/>
      </w:r>
      <w:r>
        <w:rPr>
          <w:color w:val="auto"/>
          <w:sz w:val="12"/>
          <w:szCs w:val="12"/>
        </w:rPr>
        <w:tab/>
      </w:r>
      <w:r>
        <w:rPr>
          <w:color w:val="auto"/>
          <w:sz w:val="12"/>
          <w:szCs w:val="12"/>
        </w:rPr>
        <w:t>minor adaptations for RAN #90e</w:t>
      </w:r>
    </w:p>
    <w:p w14:paraId="5B095A08">
      <w:pPr>
        <w:pStyle w:val="110"/>
        <w:rPr>
          <w:color w:val="auto"/>
          <w:sz w:val="12"/>
          <w:szCs w:val="12"/>
        </w:rPr>
      </w:pPr>
      <w:r>
        <w:rPr>
          <w:color w:val="auto"/>
          <w:sz w:val="12"/>
          <w:szCs w:val="12"/>
        </w:rPr>
        <w:tab/>
      </w:r>
      <w:r>
        <w:rPr>
          <w:color w:val="auto"/>
          <w:sz w:val="12"/>
          <w:szCs w:val="12"/>
        </w:rPr>
        <w:t>31.08.2020</w:t>
      </w:r>
      <w:r>
        <w:rPr>
          <w:color w:val="auto"/>
          <w:sz w:val="12"/>
          <w:szCs w:val="12"/>
        </w:rPr>
        <w:tab/>
      </w:r>
      <w:r>
        <w:rPr>
          <w:color w:val="auto"/>
          <w:sz w:val="12"/>
          <w:szCs w:val="12"/>
        </w:rPr>
        <w:tab/>
      </w:r>
      <w:r>
        <w:rPr>
          <w:color w:val="auto"/>
          <w:sz w:val="12"/>
          <w:szCs w:val="12"/>
        </w:rPr>
        <w:t>minor adaptations for RAN #89e</w:t>
      </w:r>
    </w:p>
    <w:p w14:paraId="5531ABED">
      <w:pPr>
        <w:pStyle w:val="110"/>
        <w:rPr>
          <w:color w:val="auto"/>
          <w:sz w:val="12"/>
          <w:szCs w:val="12"/>
        </w:rPr>
      </w:pPr>
      <w:r>
        <w:rPr>
          <w:color w:val="auto"/>
          <w:sz w:val="12"/>
          <w:szCs w:val="12"/>
        </w:rPr>
        <w:tab/>
      </w:r>
      <w:r>
        <w:rPr>
          <w:color w:val="auto"/>
          <w:sz w:val="12"/>
          <w:szCs w:val="12"/>
        </w:rPr>
        <w:t>20.04.2020</w:t>
      </w:r>
      <w:r>
        <w:rPr>
          <w:color w:val="auto"/>
          <w:sz w:val="12"/>
          <w:szCs w:val="12"/>
        </w:rPr>
        <w:tab/>
      </w:r>
      <w:r>
        <w:rPr>
          <w:color w:val="auto"/>
          <w:sz w:val="12"/>
          <w:szCs w:val="12"/>
        </w:rPr>
        <w:tab/>
      </w:r>
      <w:r>
        <w:rPr>
          <w:color w:val="auto"/>
          <w:sz w:val="12"/>
          <w:szCs w:val="12"/>
        </w:rPr>
        <w:t>minor adaptations for RAN #88e</w:t>
      </w:r>
    </w:p>
    <w:p w14:paraId="1BFF6BE0">
      <w:pPr>
        <w:pStyle w:val="110"/>
        <w:rPr>
          <w:color w:val="auto"/>
          <w:sz w:val="12"/>
          <w:szCs w:val="12"/>
        </w:rPr>
      </w:pPr>
      <w:r>
        <w:rPr>
          <w:color w:val="auto"/>
          <w:sz w:val="12"/>
          <w:szCs w:val="12"/>
        </w:rPr>
        <w:tab/>
      </w:r>
      <w:r>
        <w:rPr>
          <w:color w:val="auto"/>
          <w:sz w:val="12"/>
          <w:szCs w:val="12"/>
        </w:rPr>
        <w:t>18.02.2020</w:t>
      </w:r>
      <w:r>
        <w:rPr>
          <w:color w:val="auto"/>
          <w:sz w:val="12"/>
          <w:szCs w:val="12"/>
        </w:rPr>
        <w:tab/>
      </w:r>
      <w:r>
        <w:rPr>
          <w:color w:val="auto"/>
          <w:sz w:val="12"/>
          <w:szCs w:val="12"/>
        </w:rPr>
        <w:tab/>
      </w:r>
      <w:r>
        <w:rPr>
          <w:color w:val="auto"/>
          <w:sz w:val="12"/>
          <w:szCs w:val="12"/>
        </w:rPr>
        <w:t>minor adaptations for RAN #87e</w:t>
      </w:r>
    </w:p>
    <w:p w14:paraId="37723409">
      <w:pPr>
        <w:pStyle w:val="110"/>
        <w:rPr>
          <w:color w:val="auto"/>
          <w:sz w:val="12"/>
          <w:szCs w:val="12"/>
        </w:rPr>
      </w:pPr>
      <w:r>
        <w:rPr>
          <w:color w:val="auto"/>
          <w:sz w:val="12"/>
          <w:szCs w:val="12"/>
        </w:rPr>
        <w:tab/>
      </w:r>
      <w:r>
        <w:rPr>
          <w:color w:val="auto"/>
          <w:sz w:val="12"/>
          <w:szCs w:val="12"/>
        </w:rPr>
        <w:t>14.11.2019</w:t>
      </w:r>
      <w:r>
        <w:rPr>
          <w:color w:val="auto"/>
          <w:sz w:val="12"/>
          <w:szCs w:val="12"/>
        </w:rPr>
        <w:tab/>
      </w:r>
      <w:r>
        <w:rPr>
          <w:color w:val="auto"/>
          <w:sz w:val="12"/>
          <w:szCs w:val="12"/>
        </w:rPr>
        <w:tab/>
      </w:r>
      <w:r>
        <w:rPr>
          <w:color w:val="auto"/>
          <w:sz w:val="12"/>
          <w:szCs w:val="12"/>
        </w:rPr>
        <w:t>minor adaptations for RAN #86</w:t>
      </w:r>
    </w:p>
    <w:p w14:paraId="4EE8A072">
      <w:pPr>
        <w:pStyle w:val="110"/>
        <w:rPr>
          <w:color w:val="auto"/>
          <w:sz w:val="12"/>
          <w:szCs w:val="12"/>
        </w:rPr>
      </w:pPr>
      <w:r>
        <w:rPr>
          <w:color w:val="auto"/>
          <w:sz w:val="12"/>
          <w:szCs w:val="12"/>
        </w:rPr>
        <w:tab/>
      </w:r>
      <w:r>
        <w:rPr>
          <w:color w:val="auto"/>
          <w:sz w:val="12"/>
          <w:szCs w:val="12"/>
        </w:rPr>
        <w:t>18.08.2019</w:t>
      </w:r>
      <w:r>
        <w:rPr>
          <w:color w:val="auto"/>
          <w:sz w:val="12"/>
          <w:szCs w:val="12"/>
        </w:rPr>
        <w:tab/>
      </w:r>
      <w:r>
        <w:rPr>
          <w:color w:val="auto"/>
          <w:sz w:val="12"/>
          <w:szCs w:val="12"/>
        </w:rPr>
        <w:tab/>
      </w:r>
      <w:r>
        <w:rPr>
          <w:color w:val="auto"/>
          <w:sz w:val="12"/>
          <w:szCs w:val="12"/>
        </w:rPr>
        <w:t>minor adaptations for RAN #85</w:t>
      </w:r>
    </w:p>
    <w:p w14:paraId="24E717B1">
      <w:pPr>
        <w:pStyle w:val="110"/>
        <w:rPr>
          <w:color w:val="auto"/>
          <w:sz w:val="12"/>
          <w:szCs w:val="12"/>
        </w:rPr>
      </w:pPr>
      <w:r>
        <w:rPr>
          <w:color w:val="auto"/>
          <w:sz w:val="12"/>
          <w:szCs w:val="12"/>
        </w:rPr>
        <w:tab/>
      </w:r>
      <w:r>
        <w:rPr>
          <w:color w:val="auto"/>
          <w:sz w:val="12"/>
          <w:szCs w:val="12"/>
        </w:rPr>
        <w:t>12.05.2019</w:t>
      </w:r>
      <w:r>
        <w:rPr>
          <w:color w:val="auto"/>
          <w:sz w:val="12"/>
          <w:szCs w:val="12"/>
        </w:rPr>
        <w:tab/>
      </w:r>
      <w:r>
        <w:rPr>
          <w:color w:val="auto"/>
          <w:sz w:val="12"/>
          <w:szCs w:val="12"/>
        </w:rPr>
        <w:tab/>
      </w:r>
      <w:r>
        <w:rPr>
          <w:color w:val="auto"/>
          <w:sz w:val="12"/>
          <w:szCs w:val="12"/>
        </w:rPr>
        <w:t>minor adaptations for RAN #84</w:t>
      </w:r>
    </w:p>
    <w:p w14:paraId="5F523DF9">
      <w:pPr>
        <w:pStyle w:val="110"/>
        <w:rPr>
          <w:color w:val="auto"/>
          <w:sz w:val="12"/>
          <w:szCs w:val="12"/>
        </w:rPr>
      </w:pPr>
      <w:r>
        <w:rPr>
          <w:color w:val="auto"/>
          <w:sz w:val="12"/>
          <w:szCs w:val="12"/>
        </w:rPr>
        <w:tab/>
      </w:r>
      <w:r>
        <w:rPr>
          <w:color w:val="auto"/>
          <w:sz w:val="12"/>
          <w:szCs w:val="12"/>
        </w:rPr>
        <w:t>27.02.2019</w:t>
      </w:r>
      <w:r>
        <w:rPr>
          <w:color w:val="auto"/>
          <w:sz w:val="12"/>
          <w:szCs w:val="12"/>
        </w:rPr>
        <w:tab/>
      </w:r>
      <w:r>
        <w:rPr>
          <w:color w:val="auto"/>
          <w:sz w:val="12"/>
          <w:szCs w:val="12"/>
        </w:rPr>
        <w:tab/>
      </w:r>
      <w:r>
        <w:rPr>
          <w:color w:val="auto"/>
          <w:sz w:val="12"/>
          <w:szCs w:val="12"/>
        </w:rPr>
        <w:t>minor adaptations for RAN #83</w:t>
      </w:r>
    </w:p>
    <w:p w14:paraId="43914F6F">
      <w:pPr>
        <w:pStyle w:val="110"/>
        <w:rPr>
          <w:color w:val="auto"/>
          <w:sz w:val="12"/>
          <w:szCs w:val="12"/>
        </w:rPr>
      </w:pPr>
      <w:r>
        <w:rPr>
          <w:color w:val="auto"/>
          <w:sz w:val="12"/>
          <w:szCs w:val="12"/>
        </w:rPr>
        <w:tab/>
      </w:r>
      <w:r>
        <w:rPr>
          <w:color w:val="auto"/>
          <w:sz w:val="12"/>
          <w:szCs w:val="12"/>
        </w:rPr>
        <w:t>21.11.2018</w:t>
      </w:r>
      <w:r>
        <w:rPr>
          <w:color w:val="auto"/>
          <w:sz w:val="12"/>
          <w:szCs w:val="12"/>
        </w:rPr>
        <w:tab/>
      </w:r>
      <w:r>
        <w:rPr>
          <w:color w:val="auto"/>
          <w:sz w:val="12"/>
          <w:szCs w:val="12"/>
        </w:rPr>
        <w:tab/>
      </w:r>
      <w:r>
        <w:rPr>
          <w:color w:val="auto"/>
          <w:sz w:val="12"/>
          <w:szCs w:val="12"/>
        </w:rPr>
        <w:t>completion levels with colours added (for RAN #82)</w:t>
      </w:r>
    </w:p>
    <w:p w14:paraId="40FD1D4D">
      <w:pPr>
        <w:pStyle w:val="110"/>
        <w:rPr>
          <w:color w:val="auto"/>
          <w:sz w:val="12"/>
          <w:szCs w:val="12"/>
        </w:rPr>
      </w:pPr>
      <w:r>
        <w:rPr>
          <w:color w:val="auto"/>
          <w:sz w:val="12"/>
          <w:szCs w:val="12"/>
        </w:rPr>
        <w:t>v04.81</w:t>
      </w:r>
      <w:r>
        <w:rPr>
          <w:color w:val="auto"/>
          <w:sz w:val="12"/>
          <w:szCs w:val="12"/>
        </w:rPr>
        <w:tab/>
      </w:r>
      <w:r>
        <w:rPr>
          <w:color w:val="auto"/>
          <w:sz w:val="12"/>
          <w:szCs w:val="12"/>
        </w:rPr>
        <w:t>31.07.2018</w:t>
      </w:r>
      <w:r>
        <w:rPr>
          <w:color w:val="auto"/>
          <w:sz w:val="12"/>
          <w:szCs w:val="12"/>
        </w:rPr>
        <w:tab/>
      </w:r>
      <w:r>
        <w:rPr>
          <w:color w:val="auto"/>
          <w:sz w:val="12"/>
          <w:szCs w:val="12"/>
        </w:rPr>
        <w:tab/>
      </w:r>
      <w:r>
        <w:rPr>
          <w:color w:val="auto"/>
          <w:sz w:val="12"/>
          <w:szCs w:val="12"/>
        </w:rPr>
        <w:t>simplification of template and addition of cross-TSG aspects (for RAN #81)</w:t>
      </w:r>
    </w:p>
    <w:p w14:paraId="50672D4A">
      <w:pPr>
        <w:pStyle w:val="110"/>
        <w:rPr>
          <w:color w:val="auto"/>
          <w:sz w:val="12"/>
          <w:szCs w:val="12"/>
        </w:rPr>
      </w:pPr>
      <w:r>
        <w:rPr>
          <w:color w:val="auto"/>
          <w:sz w:val="12"/>
          <w:szCs w:val="12"/>
        </w:rPr>
        <w:t>v04.80</w:t>
      </w:r>
      <w:r>
        <w:rPr>
          <w:color w:val="auto"/>
          <w:sz w:val="12"/>
          <w:szCs w:val="12"/>
        </w:rPr>
        <w:tab/>
      </w:r>
      <w:r>
        <w:rPr>
          <w:color w:val="auto"/>
          <w:sz w:val="12"/>
          <w:szCs w:val="12"/>
        </w:rPr>
        <w:t>21.05.2018</w:t>
      </w:r>
      <w:r>
        <w:rPr>
          <w:color w:val="auto"/>
          <w:sz w:val="12"/>
          <w:szCs w:val="12"/>
        </w:rPr>
        <w:tab/>
      </w:r>
      <w:r>
        <w:rPr>
          <w:color w:val="auto"/>
          <w:sz w:val="12"/>
          <w:szCs w:val="12"/>
        </w:rPr>
        <w:tab/>
      </w:r>
      <w:r>
        <w:rPr>
          <w:color w:val="auto"/>
          <w:sz w:val="12"/>
          <w:szCs w:val="12"/>
        </w:rPr>
        <w:t>minor adaptations for RAN #80</w:t>
      </w:r>
    </w:p>
    <w:p w14:paraId="0B856D7C">
      <w:pPr>
        <w:pStyle w:val="110"/>
        <w:rPr>
          <w:color w:val="auto"/>
          <w:sz w:val="12"/>
          <w:szCs w:val="12"/>
        </w:rPr>
      </w:pPr>
      <w:r>
        <w:rPr>
          <w:color w:val="auto"/>
          <w:sz w:val="12"/>
          <w:szCs w:val="12"/>
        </w:rPr>
        <w:t>v04.79</w:t>
      </w:r>
      <w:r>
        <w:rPr>
          <w:color w:val="auto"/>
          <w:sz w:val="12"/>
          <w:szCs w:val="12"/>
        </w:rPr>
        <w:tab/>
      </w:r>
      <w:r>
        <w:rPr>
          <w:color w:val="auto"/>
          <w:sz w:val="12"/>
          <w:szCs w:val="12"/>
        </w:rPr>
        <w:t>26.02.2018</w:t>
      </w:r>
      <w:r>
        <w:rPr>
          <w:color w:val="auto"/>
          <w:sz w:val="12"/>
          <w:szCs w:val="12"/>
        </w:rPr>
        <w:tab/>
      </w:r>
      <w:r>
        <w:rPr>
          <w:color w:val="auto"/>
          <w:sz w:val="12"/>
          <w:szCs w:val="12"/>
        </w:rPr>
        <w:tab/>
      </w:r>
      <w:r>
        <w:rPr>
          <w:color w:val="auto"/>
          <w:sz w:val="12"/>
          <w:szCs w:val="12"/>
        </w:rPr>
        <w:t>minor adaptations for RAN #79</w:t>
      </w:r>
    </w:p>
    <w:p w14:paraId="0DA348E8">
      <w:pPr>
        <w:pStyle w:val="110"/>
        <w:rPr>
          <w:color w:val="auto"/>
          <w:sz w:val="12"/>
          <w:szCs w:val="12"/>
        </w:rPr>
      </w:pPr>
      <w:r>
        <w:rPr>
          <w:color w:val="auto"/>
          <w:sz w:val="12"/>
          <w:szCs w:val="12"/>
        </w:rPr>
        <w:t>v04.78</w:t>
      </w:r>
      <w:r>
        <w:rPr>
          <w:color w:val="auto"/>
          <w:sz w:val="12"/>
          <w:szCs w:val="12"/>
        </w:rPr>
        <w:tab/>
      </w:r>
      <w:r>
        <w:rPr>
          <w:color w:val="auto"/>
          <w:sz w:val="12"/>
          <w:szCs w:val="12"/>
        </w:rPr>
        <w:t>18.11.2017</w:t>
      </w:r>
      <w:r>
        <w:rPr>
          <w:color w:val="auto"/>
          <w:sz w:val="12"/>
          <w:szCs w:val="12"/>
        </w:rPr>
        <w:tab/>
      </w:r>
      <w:r>
        <w:rPr>
          <w:color w:val="auto"/>
          <w:sz w:val="12"/>
          <w:szCs w:val="12"/>
        </w:rPr>
        <w:tab/>
      </w:r>
      <w:r>
        <w:rPr>
          <w:color w:val="auto"/>
          <w:sz w:val="12"/>
          <w:szCs w:val="12"/>
        </w:rPr>
        <w:t>minor adaptations for RAN #78</w:t>
      </w:r>
    </w:p>
    <w:p w14:paraId="0E6962BC">
      <w:pPr>
        <w:pStyle w:val="110"/>
        <w:rPr>
          <w:color w:val="auto"/>
          <w:sz w:val="12"/>
          <w:szCs w:val="12"/>
        </w:rPr>
      </w:pPr>
      <w:r>
        <w:rPr>
          <w:color w:val="auto"/>
          <w:sz w:val="12"/>
          <w:szCs w:val="12"/>
        </w:rPr>
        <w:t>v04.77</w:t>
      </w:r>
      <w:r>
        <w:rPr>
          <w:color w:val="auto"/>
          <w:sz w:val="12"/>
          <w:szCs w:val="12"/>
        </w:rPr>
        <w:tab/>
      </w:r>
      <w:r>
        <w:rPr>
          <w:color w:val="auto"/>
          <w:sz w:val="12"/>
          <w:szCs w:val="12"/>
        </w:rPr>
        <w:t>06.08.2017</w:t>
      </w:r>
      <w:r>
        <w:rPr>
          <w:color w:val="auto"/>
          <w:sz w:val="12"/>
          <w:szCs w:val="12"/>
        </w:rPr>
        <w:tab/>
      </w:r>
      <w:r>
        <w:rPr>
          <w:color w:val="auto"/>
          <w:sz w:val="12"/>
          <w:szCs w:val="12"/>
        </w:rPr>
        <w:tab/>
      </w:r>
      <w:r>
        <w:rPr>
          <w:color w:val="auto"/>
          <w:sz w:val="12"/>
          <w:szCs w:val="12"/>
        </w:rPr>
        <w:t>minor adaptations for RAN #77</w:t>
      </w:r>
    </w:p>
    <w:p w14:paraId="77971EE3">
      <w:pPr>
        <w:pStyle w:val="110"/>
        <w:rPr>
          <w:color w:val="auto"/>
          <w:sz w:val="12"/>
          <w:szCs w:val="12"/>
        </w:rPr>
      </w:pPr>
      <w:r>
        <w:rPr>
          <w:color w:val="auto"/>
          <w:sz w:val="12"/>
          <w:szCs w:val="12"/>
        </w:rPr>
        <w:t>v04.76</w:t>
      </w:r>
      <w:r>
        <w:rPr>
          <w:color w:val="auto"/>
          <w:sz w:val="12"/>
          <w:szCs w:val="12"/>
        </w:rPr>
        <w:tab/>
      </w:r>
      <w:r>
        <w:rPr>
          <w:color w:val="auto"/>
          <w:sz w:val="12"/>
          <w:szCs w:val="12"/>
        </w:rPr>
        <w:t>15.05.2017</w:t>
      </w:r>
      <w:r>
        <w:rPr>
          <w:color w:val="auto"/>
          <w:sz w:val="12"/>
          <w:szCs w:val="12"/>
        </w:rPr>
        <w:tab/>
      </w:r>
      <w:r>
        <w:rPr>
          <w:color w:val="auto"/>
          <w:sz w:val="12"/>
          <w:szCs w:val="12"/>
        </w:rPr>
        <w:tab/>
      </w:r>
      <w:r>
        <w:rPr>
          <w:color w:val="auto"/>
          <w:sz w:val="12"/>
          <w:szCs w:val="12"/>
        </w:rPr>
        <w:t>minor adaptations for RAN #76</w:t>
      </w:r>
    </w:p>
    <w:p w14:paraId="59808886">
      <w:pPr>
        <w:pStyle w:val="110"/>
        <w:rPr>
          <w:color w:val="auto"/>
          <w:sz w:val="12"/>
          <w:szCs w:val="12"/>
        </w:rPr>
      </w:pPr>
      <w:r>
        <w:rPr>
          <w:color w:val="auto"/>
          <w:sz w:val="12"/>
          <w:szCs w:val="12"/>
        </w:rPr>
        <w:t>v04.75</w:t>
      </w:r>
      <w:r>
        <w:rPr>
          <w:color w:val="auto"/>
          <w:sz w:val="12"/>
          <w:szCs w:val="12"/>
        </w:rPr>
        <w:tab/>
      </w:r>
      <w:r>
        <w:rPr>
          <w:color w:val="auto"/>
          <w:sz w:val="12"/>
          <w:szCs w:val="12"/>
        </w:rPr>
        <w:t>31.01.2017</w:t>
      </w:r>
      <w:r>
        <w:rPr>
          <w:color w:val="auto"/>
          <w:sz w:val="12"/>
          <w:szCs w:val="12"/>
        </w:rPr>
        <w:tab/>
      </w:r>
      <w:r>
        <w:rPr>
          <w:color w:val="auto"/>
          <w:sz w:val="12"/>
          <w:szCs w:val="12"/>
        </w:rPr>
        <w:tab/>
      </w:r>
      <w:r>
        <w:rPr>
          <w:color w:val="auto"/>
          <w:sz w:val="12"/>
          <w:szCs w:val="12"/>
        </w:rPr>
        <w:t>minor adaptations for RAN #75</w:t>
      </w:r>
    </w:p>
    <w:p w14:paraId="7D38548E">
      <w:pPr>
        <w:pStyle w:val="110"/>
        <w:rPr>
          <w:color w:val="auto"/>
          <w:sz w:val="12"/>
          <w:szCs w:val="12"/>
        </w:rPr>
      </w:pPr>
      <w:r>
        <w:rPr>
          <w:color w:val="auto"/>
          <w:sz w:val="12"/>
          <w:szCs w:val="12"/>
        </w:rPr>
        <w:t>v04.74</w:t>
      </w:r>
      <w:r>
        <w:rPr>
          <w:color w:val="auto"/>
          <w:sz w:val="12"/>
          <w:szCs w:val="12"/>
        </w:rPr>
        <w:tab/>
      </w:r>
      <w:r>
        <w:rPr>
          <w:color w:val="auto"/>
          <w:sz w:val="12"/>
          <w:szCs w:val="12"/>
        </w:rPr>
        <w:t>28.10.2016</w:t>
      </w:r>
      <w:r>
        <w:rPr>
          <w:color w:val="auto"/>
          <w:sz w:val="12"/>
          <w:szCs w:val="12"/>
        </w:rPr>
        <w:tab/>
      </w:r>
      <w:r>
        <w:rPr>
          <w:color w:val="auto"/>
          <w:sz w:val="12"/>
          <w:szCs w:val="12"/>
        </w:rPr>
        <w:tab/>
      </w:r>
      <w:r>
        <w:rPr>
          <w:color w:val="auto"/>
          <w:sz w:val="12"/>
          <w:szCs w:val="12"/>
        </w:rPr>
        <w:t>minor adaptations for RAN #74</w:t>
      </w:r>
    </w:p>
    <w:p w14:paraId="25717EE4">
      <w:pPr>
        <w:pStyle w:val="110"/>
        <w:rPr>
          <w:color w:val="auto"/>
          <w:sz w:val="12"/>
          <w:szCs w:val="12"/>
        </w:rPr>
      </w:pPr>
      <w:r>
        <w:rPr>
          <w:color w:val="auto"/>
          <w:sz w:val="12"/>
          <w:szCs w:val="12"/>
        </w:rPr>
        <w:t>v04.73</w:t>
      </w:r>
      <w:r>
        <w:rPr>
          <w:color w:val="auto"/>
          <w:sz w:val="12"/>
          <w:szCs w:val="12"/>
        </w:rPr>
        <w:tab/>
      </w:r>
      <w:r>
        <w:rPr>
          <w:color w:val="auto"/>
          <w:sz w:val="12"/>
          <w:szCs w:val="12"/>
        </w:rPr>
        <w:t>01.09.2016</w:t>
      </w:r>
      <w:r>
        <w:rPr>
          <w:color w:val="auto"/>
          <w:sz w:val="12"/>
          <w:szCs w:val="12"/>
        </w:rPr>
        <w:tab/>
      </w:r>
      <w:r>
        <w:rPr>
          <w:color w:val="auto"/>
          <w:sz w:val="12"/>
          <w:szCs w:val="12"/>
        </w:rPr>
        <w:tab/>
      </w:r>
      <w:r>
        <w:rPr>
          <w:color w:val="auto"/>
          <w:sz w:val="12"/>
          <w:szCs w:val="12"/>
        </w:rPr>
        <w:t>adaptations for RAN #73 (time units in extra Excel table, RAN6 reporting included)</w:t>
      </w:r>
    </w:p>
    <w:p w14:paraId="3ACFE012">
      <w:pPr>
        <w:pStyle w:val="110"/>
        <w:rPr>
          <w:color w:val="auto"/>
          <w:sz w:val="12"/>
          <w:szCs w:val="12"/>
        </w:rPr>
      </w:pPr>
      <w:r>
        <w:rPr>
          <w:color w:val="auto"/>
          <w:sz w:val="12"/>
          <w:szCs w:val="12"/>
        </w:rPr>
        <w:t>v04.72</w:t>
      </w:r>
      <w:r>
        <w:rPr>
          <w:color w:val="auto"/>
          <w:sz w:val="12"/>
          <w:szCs w:val="12"/>
        </w:rPr>
        <w:tab/>
      </w:r>
      <w:r>
        <w:rPr>
          <w:color w:val="auto"/>
          <w:sz w:val="12"/>
          <w:szCs w:val="12"/>
        </w:rPr>
        <w:t>26.05.2016</w:t>
      </w:r>
      <w:r>
        <w:rPr>
          <w:color w:val="auto"/>
          <w:sz w:val="12"/>
          <w:szCs w:val="12"/>
        </w:rPr>
        <w:tab/>
      </w:r>
      <w:r>
        <w:rPr>
          <w:color w:val="auto"/>
          <w:sz w:val="12"/>
          <w:szCs w:val="12"/>
        </w:rPr>
        <w:tab/>
      </w:r>
      <w:r>
        <w:rPr>
          <w:color w:val="auto"/>
          <w:sz w:val="12"/>
          <w:szCs w:val="12"/>
        </w:rPr>
        <w:t>adaptations for RAN #72 (introduction of NR &amp; GERAN TUs)</w:t>
      </w:r>
    </w:p>
    <w:p w14:paraId="4A376562">
      <w:pPr>
        <w:pStyle w:val="110"/>
        <w:rPr>
          <w:color w:val="auto"/>
          <w:sz w:val="12"/>
          <w:szCs w:val="12"/>
        </w:rPr>
      </w:pPr>
      <w:r>
        <w:rPr>
          <w:color w:val="auto"/>
          <w:sz w:val="12"/>
          <w:szCs w:val="12"/>
        </w:rPr>
        <w:t>v04.71</w:t>
      </w:r>
      <w:r>
        <w:rPr>
          <w:color w:val="auto"/>
          <w:sz w:val="12"/>
          <w:szCs w:val="12"/>
        </w:rPr>
        <w:tab/>
      </w:r>
      <w:r>
        <w:rPr>
          <w:color w:val="auto"/>
          <w:sz w:val="12"/>
          <w:szCs w:val="12"/>
        </w:rPr>
        <w:t>10.02.2016</w:t>
      </w:r>
      <w:r>
        <w:rPr>
          <w:color w:val="auto"/>
          <w:sz w:val="12"/>
          <w:szCs w:val="12"/>
        </w:rPr>
        <w:tab/>
      </w:r>
      <w:r>
        <w:rPr>
          <w:color w:val="auto"/>
          <w:sz w:val="12"/>
          <w:szCs w:val="12"/>
        </w:rPr>
        <w:tab/>
      </w:r>
      <w:r>
        <w:rPr>
          <w:color w:val="auto"/>
          <w:sz w:val="12"/>
          <w:szCs w:val="12"/>
        </w:rPr>
        <w:t>minor adaptations for RAN #71</w:t>
      </w:r>
    </w:p>
    <w:p w14:paraId="4E0725A3">
      <w:pPr>
        <w:pStyle w:val="110"/>
        <w:rPr>
          <w:color w:val="auto"/>
          <w:sz w:val="12"/>
          <w:szCs w:val="12"/>
        </w:rPr>
      </w:pPr>
      <w:r>
        <w:rPr>
          <w:color w:val="auto"/>
          <w:sz w:val="12"/>
          <w:szCs w:val="12"/>
        </w:rPr>
        <w:t>v04.70</w:t>
      </w:r>
      <w:r>
        <w:rPr>
          <w:color w:val="auto"/>
          <w:sz w:val="12"/>
          <w:szCs w:val="12"/>
        </w:rPr>
        <w:tab/>
      </w:r>
      <w:r>
        <w:rPr>
          <w:color w:val="auto"/>
          <w:sz w:val="12"/>
          <w:szCs w:val="12"/>
        </w:rPr>
        <w:t>30.10.2015</w:t>
      </w:r>
      <w:r>
        <w:rPr>
          <w:color w:val="auto"/>
          <w:sz w:val="12"/>
          <w:szCs w:val="12"/>
        </w:rPr>
        <w:tab/>
      </w:r>
      <w:r>
        <w:rPr>
          <w:color w:val="auto"/>
          <w:sz w:val="12"/>
          <w:szCs w:val="12"/>
        </w:rPr>
        <w:tab/>
      </w:r>
      <w:r>
        <w:rPr>
          <w:color w:val="auto"/>
          <w:sz w:val="12"/>
          <w:szCs w:val="12"/>
        </w:rPr>
        <w:t>minor adaptations for RAN #70</w:t>
      </w:r>
    </w:p>
    <w:p w14:paraId="30E7F6DA">
      <w:pPr>
        <w:pStyle w:val="110"/>
        <w:rPr>
          <w:color w:val="auto"/>
          <w:sz w:val="12"/>
          <w:szCs w:val="12"/>
        </w:rPr>
      </w:pPr>
      <w:r>
        <w:rPr>
          <w:color w:val="auto"/>
          <w:sz w:val="12"/>
          <w:szCs w:val="12"/>
        </w:rPr>
        <w:t>v04.69</w:t>
      </w:r>
      <w:r>
        <w:rPr>
          <w:color w:val="auto"/>
          <w:sz w:val="12"/>
          <w:szCs w:val="12"/>
        </w:rPr>
        <w:tab/>
      </w:r>
      <w:r>
        <w:rPr>
          <w:color w:val="auto"/>
          <w:sz w:val="12"/>
          <w:szCs w:val="12"/>
        </w:rPr>
        <w:t>12.08.2015</w:t>
      </w:r>
      <w:r>
        <w:rPr>
          <w:color w:val="auto"/>
          <w:sz w:val="12"/>
          <w:szCs w:val="12"/>
        </w:rPr>
        <w:tab/>
      </w:r>
      <w:r>
        <w:rPr>
          <w:color w:val="auto"/>
          <w:sz w:val="12"/>
          <w:szCs w:val="12"/>
        </w:rPr>
        <w:tab/>
      </w:r>
      <w:r>
        <w:rPr>
          <w:color w:val="auto"/>
          <w:sz w:val="12"/>
          <w:szCs w:val="12"/>
        </w:rPr>
        <w:t>minor adaptations for RAN #69</w:t>
      </w:r>
    </w:p>
    <w:p w14:paraId="42C23ECC">
      <w:pPr>
        <w:pStyle w:val="110"/>
        <w:rPr>
          <w:color w:val="auto"/>
          <w:sz w:val="12"/>
          <w:szCs w:val="12"/>
        </w:rPr>
      </w:pPr>
      <w:r>
        <w:rPr>
          <w:color w:val="auto"/>
          <w:sz w:val="12"/>
          <w:szCs w:val="12"/>
        </w:rPr>
        <w:t>v04.68</w:t>
      </w:r>
      <w:r>
        <w:rPr>
          <w:color w:val="auto"/>
          <w:sz w:val="12"/>
          <w:szCs w:val="12"/>
        </w:rPr>
        <w:tab/>
      </w:r>
      <w:r>
        <w:rPr>
          <w:color w:val="auto"/>
          <w:sz w:val="12"/>
          <w:szCs w:val="12"/>
        </w:rPr>
        <w:t>21.05.2015</w:t>
      </w:r>
      <w:r>
        <w:rPr>
          <w:color w:val="auto"/>
          <w:sz w:val="12"/>
          <w:szCs w:val="12"/>
        </w:rPr>
        <w:tab/>
      </w:r>
      <w:r>
        <w:rPr>
          <w:color w:val="auto"/>
          <w:sz w:val="12"/>
          <w:szCs w:val="12"/>
        </w:rPr>
        <w:tab/>
      </w:r>
      <w:r>
        <w:rPr>
          <w:color w:val="auto"/>
          <w:sz w:val="12"/>
          <w:szCs w:val="12"/>
        </w:rPr>
        <w:t>minor adaptations for RAN #68</w:t>
      </w:r>
    </w:p>
    <w:p w14:paraId="063979BF">
      <w:pPr>
        <w:pStyle w:val="110"/>
        <w:rPr>
          <w:color w:val="auto"/>
          <w:sz w:val="12"/>
          <w:szCs w:val="12"/>
        </w:rPr>
      </w:pPr>
      <w:r>
        <w:rPr>
          <w:color w:val="auto"/>
          <w:sz w:val="12"/>
          <w:szCs w:val="12"/>
        </w:rPr>
        <w:t>v04.67</w:t>
      </w:r>
      <w:r>
        <w:rPr>
          <w:color w:val="auto"/>
          <w:sz w:val="12"/>
          <w:szCs w:val="12"/>
        </w:rPr>
        <w:tab/>
      </w:r>
      <w:r>
        <w:rPr>
          <w:color w:val="auto"/>
          <w:sz w:val="12"/>
          <w:szCs w:val="12"/>
        </w:rPr>
        <w:t>01.02.2015</w:t>
      </w:r>
      <w:r>
        <w:rPr>
          <w:color w:val="auto"/>
          <w:sz w:val="12"/>
          <w:szCs w:val="12"/>
        </w:rPr>
        <w:tab/>
      </w:r>
      <w:r>
        <w:rPr>
          <w:color w:val="auto"/>
          <w:sz w:val="12"/>
          <w:szCs w:val="12"/>
        </w:rPr>
        <w:tab/>
      </w:r>
      <w:r>
        <w:rPr>
          <w:color w:val="auto"/>
          <w:sz w:val="12"/>
          <w:szCs w:val="12"/>
        </w:rPr>
        <w:t>minor adaptations for RAN #67</w:t>
      </w:r>
    </w:p>
    <w:p w14:paraId="056EE565">
      <w:pPr>
        <w:pStyle w:val="110"/>
        <w:rPr>
          <w:color w:val="auto"/>
          <w:sz w:val="12"/>
          <w:szCs w:val="12"/>
        </w:rPr>
      </w:pPr>
      <w:r>
        <w:rPr>
          <w:color w:val="auto"/>
          <w:sz w:val="12"/>
          <w:szCs w:val="12"/>
        </w:rPr>
        <w:t>v04.66</w:t>
      </w:r>
      <w:r>
        <w:rPr>
          <w:color w:val="auto"/>
          <w:sz w:val="12"/>
          <w:szCs w:val="12"/>
        </w:rPr>
        <w:tab/>
      </w:r>
      <w:r>
        <w:rPr>
          <w:color w:val="auto"/>
          <w:sz w:val="12"/>
          <w:szCs w:val="12"/>
        </w:rPr>
        <w:t>16.11.2014</w:t>
      </w:r>
      <w:r>
        <w:rPr>
          <w:color w:val="auto"/>
          <w:sz w:val="12"/>
          <w:szCs w:val="12"/>
        </w:rPr>
        <w:tab/>
      </w:r>
      <w:r>
        <w:rPr>
          <w:color w:val="auto"/>
          <w:sz w:val="12"/>
          <w:szCs w:val="12"/>
        </w:rPr>
        <w:tab/>
      </w:r>
      <w:r>
        <w:rPr>
          <w:color w:val="auto"/>
          <w:sz w:val="12"/>
          <w:szCs w:val="12"/>
        </w:rPr>
        <w:t>minor adaptations for RAN #66</w:t>
      </w:r>
    </w:p>
    <w:p w14:paraId="11470BF9">
      <w:pPr>
        <w:pStyle w:val="110"/>
        <w:rPr>
          <w:color w:val="auto"/>
          <w:sz w:val="12"/>
          <w:szCs w:val="12"/>
        </w:rPr>
      </w:pPr>
      <w:r>
        <w:rPr>
          <w:color w:val="auto"/>
          <w:sz w:val="12"/>
          <w:szCs w:val="12"/>
        </w:rPr>
        <w:t>v04.65</w:t>
      </w:r>
      <w:r>
        <w:rPr>
          <w:color w:val="auto"/>
          <w:sz w:val="12"/>
          <w:szCs w:val="12"/>
        </w:rPr>
        <w:tab/>
      </w:r>
      <w:r>
        <w:rPr>
          <w:color w:val="auto"/>
          <w:sz w:val="12"/>
          <w:szCs w:val="12"/>
        </w:rPr>
        <w:t>16.08.2014</w:t>
      </w:r>
      <w:r>
        <w:rPr>
          <w:color w:val="auto"/>
          <w:sz w:val="12"/>
          <w:szCs w:val="12"/>
        </w:rPr>
        <w:tab/>
      </w:r>
      <w:r>
        <w:rPr>
          <w:color w:val="auto"/>
          <w:sz w:val="12"/>
          <w:szCs w:val="12"/>
        </w:rPr>
        <w:tab/>
      </w:r>
      <w:r>
        <w:rPr>
          <w:color w:val="auto"/>
          <w:sz w:val="12"/>
          <w:szCs w:val="12"/>
        </w:rPr>
        <w:t>minor adaptations for RAN #65</w:t>
      </w:r>
    </w:p>
    <w:p w14:paraId="41CB9CA1">
      <w:pPr>
        <w:pStyle w:val="110"/>
        <w:rPr>
          <w:sz w:val="12"/>
          <w:szCs w:val="12"/>
        </w:rPr>
      </w:pPr>
      <w:r>
        <w:rPr>
          <w:color w:val="auto"/>
          <w:sz w:val="12"/>
          <w:szCs w:val="12"/>
        </w:rPr>
        <w:t>v04.64</w:t>
      </w:r>
      <w:r>
        <w:rPr>
          <w:color w:val="auto"/>
          <w:sz w:val="12"/>
          <w:szCs w:val="12"/>
        </w:rPr>
        <w:tab/>
      </w:r>
      <w:r>
        <w:rPr>
          <w:color w:val="auto"/>
          <w:sz w:val="12"/>
          <w:szCs w:val="12"/>
        </w:rPr>
        <w:t>22.05.2014</w:t>
      </w:r>
      <w:r>
        <w:rPr>
          <w:color w:val="auto"/>
          <w:sz w:val="12"/>
          <w:szCs w:val="12"/>
        </w:rPr>
        <w:tab/>
      </w:r>
      <w:r>
        <w:rPr>
          <w:color w:val="auto"/>
          <w:sz w:val="12"/>
          <w:szCs w:val="12"/>
        </w:rPr>
        <w:tab/>
      </w:r>
      <w:r>
        <w:rPr>
          <w:sz w:val="12"/>
          <w:szCs w:val="12"/>
        </w:rPr>
        <w:t>minor adaptations for RAN #64</w:t>
      </w:r>
    </w:p>
    <w:p w14:paraId="75E90C57">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6F8531D3">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179480B5">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6BBA9853">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6A9E665">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0C7D149E">
      <w:pPr>
        <w:pStyle w:val="110"/>
        <w:rPr>
          <w:sz w:val="12"/>
          <w:szCs w:val="12"/>
        </w:rPr>
      </w:pPr>
    </w:p>
    <w:p w14:paraId="1DB26C97">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altName w:val="Times New Roman"/>
    <w:panose1 w:val="02040604050505020304"/>
    <w:charset w:val="00"/>
    <w:family w:val="roman"/>
    <w:pitch w:val="default"/>
    <w:sig w:usb0="00000000"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C5179">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63E13CA"/>
    <w:rsid w:val="06B82CDA"/>
    <w:rsid w:val="07D5147A"/>
    <w:rsid w:val="090D7CCD"/>
    <w:rsid w:val="0EB903D3"/>
    <w:rsid w:val="10F938A5"/>
    <w:rsid w:val="1313393B"/>
    <w:rsid w:val="135B5D51"/>
    <w:rsid w:val="14737E1C"/>
    <w:rsid w:val="14885940"/>
    <w:rsid w:val="153168D0"/>
    <w:rsid w:val="1BA90A6D"/>
    <w:rsid w:val="1CC03753"/>
    <w:rsid w:val="20F20B08"/>
    <w:rsid w:val="228E366C"/>
    <w:rsid w:val="22E63CE8"/>
    <w:rsid w:val="23931157"/>
    <w:rsid w:val="25A063FE"/>
    <w:rsid w:val="2A540A28"/>
    <w:rsid w:val="2A9D3A0F"/>
    <w:rsid w:val="2CB223D7"/>
    <w:rsid w:val="2D82375A"/>
    <w:rsid w:val="2F573F32"/>
    <w:rsid w:val="351651E2"/>
    <w:rsid w:val="37D75A4A"/>
    <w:rsid w:val="3B537A97"/>
    <w:rsid w:val="44426540"/>
    <w:rsid w:val="45553F83"/>
    <w:rsid w:val="476405EC"/>
    <w:rsid w:val="4A9614FD"/>
    <w:rsid w:val="4A9D01E6"/>
    <w:rsid w:val="4DF0047D"/>
    <w:rsid w:val="4F6B2CF6"/>
    <w:rsid w:val="4F850853"/>
    <w:rsid w:val="5192129A"/>
    <w:rsid w:val="52CC6D8A"/>
    <w:rsid w:val="53A46624"/>
    <w:rsid w:val="547D1CF3"/>
    <w:rsid w:val="552B3895"/>
    <w:rsid w:val="55462618"/>
    <w:rsid w:val="5A49345D"/>
    <w:rsid w:val="5BA078C3"/>
    <w:rsid w:val="5D1E4C90"/>
    <w:rsid w:val="650711FD"/>
    <w:rsid w:val="66966E1B"/>
    <w:rsid w:val="687D232C"/>
    <w:rsid w:val="6CF6233D"/>
    <w:rsid w:val="6D495993"/>
    <w:rsid w:val="6D8E0B16"/>
    <w:rsid w:val="6DFFE9EE"/>
    <w:rsid w:val="6E416A91"/>
    <w:rsid w:val="6E8253DC"/>
    <w:rsid w:val="71091CB0"/>
    <w:rsid w:val="71B770D3"/>
    <w:rsid w:val="73C5601D"/>
    <w:rsid w:val="744D2C14"/>
    <w:rsid w:val="75693D24"/>
    <w:rsid w:val="79FF6BB0"/>
    <w:rsid w:val="7AE7068C"/>
    <w:rsid w:val="7CDC7204"/>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4</Pages>
  <Words>735</Words>
  <Characters>4192</Characters>
  <Lines>34</Lines>
  <Paragraphs>9</Paragraphs>
  <TotalTime>12</TotalTime>
  <ScaleCrop>false</ScaleCrop>
  <LinksUpToDate>false</LinksUpToDate>
  <CharactersWithSpaces>4918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China Unicom</cp:lastModifiedBy>
  <dcterms:modified xsi:type="dcterms:W3CDTF">2025-11-21T08:44:12Z</dcterms:modified>
  <dc:title>Status Report to TSG</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2052-12.8.2.21555</vt:lpwstr>
  </property>
  <property fmtid="{D5CDD505-2E9C-101B-9397-08002B2CF9AE}" pid="11" name="ICV">
    <vt:lpwstr>2F1723FF1AF0479098DB844503168470_13</vt:lpwstr>
  </property>
</Properties>
</file>